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80"/>
        <w:rPr>
          <w:rFonts w:ascii="Calibri" w:hAnsi="Calibri" w:eastAsia="宋体" w:cs="Times New Roman"/>
          <w:b/>
          <w:sz w:val="52"/>
          <w:szCs w:val="52"/>
        </w:rPr>
      </w:pPr>
    </w:p>
    <w:p>
      <w:pPr>
        <w:ind w:left="480"/>
        <w:rPr>
          <w:rFonts w:ascii="Calibri" w:hAnsi="Calibri" w:eastAsia="宋体" w:cs="Times New Roman"/>
          <w:b/>
          <w:sz w:val="52"/>
          <w:szCs w:val="52"/>
        </w:rPr>
      </w:pPr>
    </w:p>
    <w:p>
      <w:pPr>
        <w:ind w:left="480"/>
        <w:rPr>
          <w:rFonts w:ascii="Calibri" w:hAnsi="Calibri" w:eastAsia="宋体" w:cs="Times New Roman"/>
          <w:b/>
          <w:sz w:val="52"/>
          <w:szCs w:val="52"/>
        </w:rPr>
      </w:pPr>
    </w:p>
    <w:p>
      <w:pPr>
        <w:ind w:left="480"/>
        <w:rPr>
          <w:rFonts w:ascii="Calibri" w:hAnsi="Calibri" w:eastAsia="宋体" w:cs="Times New Roman"/>
          <w:b/>
          <w:sz w:val="52"/>
          <w:szCs w:val="52"/>
        </w:rPr>
      </w:pPr>
    </w:p>
    <w:p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哈电集团电子商务平台</w:t>
      </w:r>
    </w:p>
    <w:p>
      <w:pPr>
        <w:ind w:left="480"/>
        <w:jc w:val="center"/>
        <w:rPr>
          <w:rFonts w:ascii="宋体" w:hAnsi="宋体" w:eastAsia="宋体" w:cs="Times New Roman"/>
          <w:b/>
          <w:bCs/>
          <w:kern w:val="44"/>
          <w:sz w:val="28"/>
          <w:szCs w:val="28"/>
        </w:rPr>
      </w:pPr>
    </w:p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保证金操作手册供应商分册</w:t>
      </w: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tbl>
      <w:tblPr>
        <w:tblStyle w:val="13"/>
        <w:tblW w:w="73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476"/>
        <w:gridCol w:w="1784"/>
        <w:gridCol w:w="2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  <w:jc w:val="center"/>
        </w:trPr>
        <w:tc>
          <w:tcPr>
            <w:tcW w:w="1980" w:type="dxa"/>
            <w:vAlign w:val="center"/>
          </w:tcPr>
          <w:p>
            <w:pPr>
              <w:pStyle w:val="5"/>
              <w:spacing w:before="100" w:beforeAutospacing="1" w:after="100" w:afterAutospacing="1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文档版本号：</w:t>
            </w:r>
          </w:p>
        </w:tc>
        <w:tc>
          <w:tcPr>
            <w:tcW w:w="1476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</w:p>
        </w:tc>
        <w:tc>
          <w:tcPr>
            <w:tcW w:w="1784" w:type="dxa"/>
            <w:vAlign w:val="center"/>
          </w:tcPr>
          <w:p>
            <w:pPr>
              <w:pStyle w:val="5"/>
              <w:spacing w:before="100" w:beforeAutospacing="1" w:after="100" w:afterAutospacing="1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文档编号：</w:t>
            </w:r>
          </w:p>
        </w:tc>
        <w:tc>
          <w:tcPr>
            <w:tcW w:w="2149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80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文档密级：</w:t>
            </w:r>
          </w:p>
        </w:tc>
        <w:tc>
          <w:tcPr>
            <w:tcW w:w="1476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</w:p>
        </w:tc>
        <w:tc>
          <w:tcPr>
            <w:tcW w:w="1784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编制单位：</w:t>
            </w:r>
          </w:p>
        </w:tc>
        <w:tc>
          <w:tcPr>
            <w:tcW w:w="2149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80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编写人：</w:t>
            </w:r>
          </w:p>
        </w:tc>
        <w:tc>
          <w:tcPr>
            <w:tcW w:w="1476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</w:p>
        </w:tc>
        <w:tc>
          <w:tcPr>
            <w:tcW w:w="1784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生效日期：</w:t>
            </w:r>
          </w:p>
        </w:tc>
        <w:tc>
          <w:tcPr>
            <w:tcW w:w="2149" w:type="dxa"/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黑体" w:hAnsi="黑体" w:eastAsia="黑体" w:cs="黑体"/>
                <w:sz w:val="24"/>
              </w:rPr>
            </w:pPr>
          </w:p>
        </w:tc>
      </w:tr>
    </w:tbl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</w:pPr>
    </w:p>
    <w:p>
      <w:pPr>
        <w:ind w:left="480"/>
        <w:rPr>
          <w:rFonts w:ascii="宋体" w:hAnsi="宋体" w:eastAsia="宋体" w:cs="Times New Roman"/>
          <w:sz w:val="28"/>
          <w:szCs w:val="28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40" w:right="1800" w:bottom="1440" w:left="1800" w:header="851" w:footer="992" w:gutter="0"/>
          <w:pgNumType w:fmt="upperRoman"/>
          <w:cols w:space="425" w:num="1"/>
          <w:docGrid w:type="lines" w:linePitch="312" w:charSpace="0"/>
        </w:sectPr>
      </w:pPr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修订记录</w:t>
      </w:r>
    </w:p>
    <w:tbl>
      <w:tblPr>
        <w:tblStyle w:val="13"/>
        <w:tblpPr w:leftFromText="180" w:rightFromText="180" w:vertAnchor="text" w:horzAnchor="page" w:tblpXSpec="center" w:tblpY="153"/>
        <w:tblOverlap w:val="never"/>
        <w:tblW w:w="8384" w:type="dxa"/>
        <w:jc w:val="center"/>
        <w:tblCellSpacing w:w="0" w:type="dxa"/>
        <w:tblBorders>
          <w:top w:val="single" w:color="080000" w:sz="4" w:space="0"/>
          <w:left w:val="single" w:color="080000" w:sz="4" w:space="0"/>
          <w:bottom w:val="single" w:color="080000" w:sz="4" w:space="0"/>
          <w:right w:val="single" w:color="080000" w:sz="4" w:space="0"/>
          <w:insideH w:val="single" w:color="080000" w:sz="4" w:space="0"/>
          <w:insideV w:val="single" w:color="08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62"/>
        <w:gridCol w:w="1236"/>
        <w:gridCol w:w="1630"/>
        <w:gridCol w:w="1126"/>
        <w:gridCol w:w="872"/>
        <w:gridCol w:w="1179"/>
        <w:gridCol w:w="1179"/>
      </w:tblGrid>
      <w:tr>
        <w:tblPrEx>
          <w:tblBorders>
            <w:top w:val="single" w:color="080000" w:sz="4" w:space="0"/>
            <w:left w:val="single" w:color="080000" w:sz="4" w:space="0"/>
            <w:bottom w:val="single" w:color="080000" w:sz="4" w:space="0"/>
            <w:right w:val="single" w:color="080000" w:sz="4" w:space="0"/>
            <w:insideH w:val="single" w:color="080000" w:sz="4" w:space="0"/>
            <w:insideV w:val="single" w:color="08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tblCellSpacing w:w="0" w:type="dxa"/>
          <w:jc w:val="center"/>
        </w:trPr>
        <w:tc>
          <w:tcPr>
            <w:tcW w:w="1162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制定日期</w:t>
            </w:r>
          </w:p>
        </w:tc>
        <w:tc>
          <w:tcPr>
            <w:tcW w:w="1236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生效日期</w:t>
            </w:r>
          </w:p>
        </w:tc>
        <w:tc>
          <w:tcPr>
            <w:tcW w:w="1630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制定/修订</w:t>
            </w:r>
          </w:p>
        </w:tc>
        <w:tc>
          <w:tcPr>
            <w:tcW w:w="1126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版本</w:t>
            </w:r>
          </w:p>
        </w:tc>
        <w:tc>
          <w:tcPr>
            <w:tcW w:w="872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拟稿</w:t>
            </w:r>
          </w:p>
        </w:tc>
        <w:tc>
          <w:tcPr>
            <w:tcW w:w="1179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审查</w:t>
            </w:r>
          </w:p>
        </w:tc>
        <w:tc>
          <w:tcPr>
            <w:tcW w:w="1179" w:type="dxa"/>
            <w:tcBorders>
              <w:tl2br w:val="nil"/>
              <w:tr2bl w:val="nil"/>
            </w:tcBorders>
            <w:shd w:val="clear" w:color="auto" w:fill="E0E0E0"/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批准</w:t>
            </w:r>
          </w:p>
        </w:tc>
      </w:tr>
      <w:tr>
        <w:tblPrEx>
          <w:tblBorders>
            <w:top w:val="single" w:color="080000" w:sz="4" w:space="0"/>
            <w:left w:val="single" w:color="080000" w:sz="4" w:space="0"/>
            <w:bottom w:val="single" w:color="080000" w:sz="4" w:space="0"/>
            <w:right w:val="single" w:color="080000" w:sz="4" w:space="0"/>
            <w:insideH w:val="single" w:color="080000" w:sz="4" w:space="0"/>
            <w:insideV w:val="single" w:color="08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  <w:jc w:val="center"/>
        </w:trPr>
        <w:tc>
          <w:tcPr>
            <w:tcW w:w="116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30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87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80000" w:sz="4" w:space="0"/>
            <w:left w:val="single" w:color="080000" w:sz="4" w:space="0"/>
            <w:bottom w:val="single" w:color="080000" w:sz="4" w:space="0"/>
            <w:right w:val="single" w:color="080000" w:sz="4" w:space="0"/>
            <w:insideH w:val="single" w:color="080000" w:sz="4" w:space="0"/>
            <w:insideV w:val="single" w:color="080000" w:sz="4" w:space="0"/>
          </w:tblBorders>
        </w:tblPrEx>
        <w:trPr>
          <w:trHeight w:val="516" w:hRule="atLeast"/>
          <w:tblCellSpacing w:w="0" w:type="dxa"/>
          <w:jc w:val="center"/>
        </w:trPr>
        <w:tc>
          <w:tcPr>
            <w:tcW w:w="116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30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87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80000" w:sz="4" w:space="0"/>
            <w:left w:val="single" w:color="080000" w:sz="4" w:space="0"/>
            <w:bottom w:val="single" w:color="080000" w:sz="4" w:space="0"/>
            <w:right w:val="single" w:color="080000" w:sz="4" w:space="0"/>
            <w:insideH w:val="single" w:color="080000" w:sz="4" w:space="0"/>
            <w:insideV w:val="single" w:color="08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tblCellSpacing w:w="0" w:type="dxa"/>
          <w:jc w:val="center"/>
        </w:trPr>
        <w:tc>
          <w:tcPr>
            <w:tcW w:w="116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30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87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80000" w:sz="4" w:space="0"/>
            <w:left w:val="single" w:color="080000" w:sz="4" w:space="0"/>
            <w:bottom w:val="single" w:color="080000" w:sz="4" w:space="0"/>
            <w:right w:val="single" w:color="080000" w:sz="4" w:space="0"/>
            <w:insideH w:val="single" w:color="080000" w:sz="4" w:space="0"/>
            <w:insideV w:val="single" w:color="08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tblCellSpacing w:w="0" w:type="dxa"/>
          <w:jc w:val="center"/>
        </w:trPr>
        <w:tc>
          <w:tcPr>
            <w:tcW w:w="116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3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30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6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872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79" w:type="dxa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widowControl/>
              <w:jc w:val="both"/>
              <w:rPr>
                <w:rFonts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jc w:val="center"/>
        <w:rPr>
          <w:rFonts w:ascii="宋体" w:hAnsi="宋体" w:eastAsia="宋体" w:cs="宋体"/>
          <w:szCs w:val="21"/>
        </w:rPr>
      </w:pPr>
      <w:r>
        <w:rPr>
          <w:rFonts w:ascii="Calibri" w:hAnsi="Calibri" w:eastAsia="宋体" w:cs="Calibri"/>
          <w:szCs w:val="21"/>
        </w:rPr>
        <w:t>A</w:t>
      </w:r>
      <w:r>
        <w:rPr>
          <w:rFonts w:hint="eastAsia" w:ascii="宋体" w:hAnsi="宋体" w:eastAsia="宋体" w:cs="宋体"/>
          <w:szCs w:val="21"/>
        </w:rPr>
        <w:t>-制定；</w:t>
      </w:r>
      <w:r>
        <w:rPr>
          <w:rFonts w:ascii="Calibri" w:hAnsi="Calibri" w:eastAsia="宋体" w:cs="Calibri"/>
          <w:szCs w:val="21"/>
        </w:rPr>
        <w:t>M</w:t>
      </w:r>
      <w:r>
        <w:rPr>
          <w:rFonts w:hint="eastAsia" w:ascii="宋体" w:hAnsi="宋体" w:eastAsia="宋体" w:cs="宋体"/>
          <w:szCs w:val="21"/>
        </w:rPr>
        <w:t>-修订</w:t>
      </w:r>
    </w:p>
    <w:p>
      <w:pPr>
        <w:ind w:left="480"/>
        <w:rPr>
          <w:rFonts w:ascii="宋体" w:hAnsi="宋体" w:eastAsia="宋体" w:cs="Times New Roman"/>
          <w:sz w:val="28"/>
          <w:szCs w:val="28"/>
        </w:rPr>
        <w:sectPr>
          <w:pgSz w:w="11906" w:h="16838"/>
          <w:pgMar w:top="1440" w:right="1800" w:bottom="1440" w:left="1800" w:header="851" w:footer="992" w:gutter="0"/>
          <w:pgNumType w:fmt="upperRoman"/>
          <w:cols w:space="425" w:num="1"/>
          <w:docGrid w:type="lines" w:linePitch="312" w:charSpace="0"/>
        </w:sectPr>
      </w:pPr>
    </w:p>
    <w:p>
      <w:pPr>
        <w:ind w:left="480"/>
        <w:jc w:val="center"/>
        <w:rPr>
          <w:rFonts w:ascii="宋体" w:hAnsi="宋体" w:eastAsia="宋体" w:cs="Times New Roman"/>
          <w:b/>
          <w:sz w:val="28"/>
          <w:szCs w:val="28"/>
        </w:rPr>
      </w:pPr>
    </w:p>
    <w:sdt>
      <w:sdtPr>
        <w:rPr>
          <w:rFonts w:asciiTheme="minorHAnsi" w:hAnsiTheme="minorHAnsi" w:eastAsiaTheme="minorEastAsia" w:cstheme="minorBidi"/>
          <w:b w:val="0"/>
          <w:color w:val="auto"/>
          <w:kern w:val="2"/>
          <w:sz w:val="21"/>
          <w:szCs w:val="24"/>
          <w:lang w:val="zh-CN"/>
        </w:rPr>
        <w:id w:val="-439687057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 w:val="0"/>
          <w:bCs/>
          <w:color w:val="auto"/>
          <w:kern w:val="2"/>
          <w:sz w:val="21"/>
          <w:szCs w:val="24"/>
          <w:lang w:val="zh-CN"/>
        </w:rPr>
      </w:sdtEndPr>
      <w:sdtContent>
        <w:p>
          <w:pPr>
            <w:pStyle w:val="23"/>
            <w:spacing w:line="240" w:lineRule="auto"/>
            <w:jc w:val="center"/>
            <w:rPr>
              <w:rFonts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b w:val="0"/>
              <w:bCs/>
              <w:color w:val="auto"/>
              <w:sz w:val="21"/>
              <w:szCs w:val="21"/>
              <w:lang w:val="zh-CN"/>
            </w:rPr>
            <w:t>目录</w:t>
          </w:r>
        </w:p>
        <w:p>
          <w:pPr>
            <w:pStyle w:val="10"/>
            <w:tabs>
              <w:tab w:val="right" w:leader="dot" w:pos="8306"/>
            </w:tabs>
          </w:pPr>
          <w:bookmarkStart w:id="31" w:name="_GoBack"/>
          <w:bookmarkEnd w:id="31"/>
          <w:r>
            <w:rPr>
              <w:rFonts w:hint="eastAsia" w:ascii="宋体" w:hAnsi="宋体" w:eastAsia="宋体" w:cs="宋体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Cs w:val="21"/>
            </w:rPr>
            <w:instrText xml:space="preserve"> TOC \o "1-4" \u </w:instrText>
          </w:r>
          <w:r>
            <w:rPr>
              <w:rFonts w:hint="eastAsia" w:ascii="宋体" w:hAnsi="宋体" w:eastAsia="宋体" w:cs="宋体"/>
              <w:szCs w:val="21"/>
            </w:rPr>
            <w:fldChar w:fldCharType="separate"/>
          </w:r>
          <w:r>
            <w:rPr>
              <w:rFonts w:hint="eastAsia"/>
            </w:rPr>
            <w:t>1 交易平台使用要求</w:t>
          </w:r>
          <w:r>
            <w:tab/>
          </w:r>
          <w:r>
            <w:fldChar w:fldCharType="begin"/>
          </w:r>
          <w:r>
            <w:instrText xml:space="preserve"> PAGEREF _Toc23834 \h </w:instrText>
          </w:r>
          <w:r>
            <w:fldChar w:fldCharType="separate"/>
          </w:r>
          <w:r>
            <w:t>1</w:t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/>
            </w:rPr>
            <w:t>2 用户登录</w:t>
          </w:r>
          <w:r>
            <w:tab/>
          </w:r>
          <w:r>
            <w:fldChar w:fldCharType="begin"/>
          </w:r>
          <w:r>
            <w:instrText xml:space="preserve"> PAGEREF _Toc30355 \h </w:instrText>
          </w:r>
          <w:r>
            <w:fldChar w:fldCharType="separate"/>
          </w:r>
          <w:r>
            <w:t>1</w:t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/>
            </w:rPr>
            <w:t xml:space="preserve">3 </w:t>
          </w:r>
          <w:r>
            <w:rPr>
              <w:rFonts w:hint="eastAsia"/>
              <w:lang w:val="en-US" w:eastAsia="zh-CN"/>
            </w:rPr>
            <w:t>企业基本户维护</w:t>
          </w:r>
          <w:r>
            <w:tab/>
          </w:r>
          <w:r>
            <w:fldChar w:fldCharType="begin"/>
          </w:r>
          <w:r>
            <w:instrText xml:space="preserve"> PAGEREF _Toc13817 \h </w:instrText>
          </w:r>
          <w:r>
            <w:fldChar w:fldCharType="separate"/>
          </w:r>
          <w:r>
            <w:t>2</w:t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/>
            </w:rPr>
            <w:t>4 项目保证金递交</w:t>
          </w:r>
          <w:r>
            <w:tab/>
          </w:r>
          <w:r>
            <w:fldChar w:fldCharType="begin"/>
          </w:r>
          <w:r>
            <w:instrText xml:space="preserve"> PAGEREF _Toc27973 \h </w:instrText>
          </w:r>
          <w:r>
            <w:fldChar w:fldCharType="separate"/>
          </w:r>
          <w:r>
            <w:t>2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 xml:space="preserve">4.1 </w:t>
          </w:r>
          <w:r>
            <w:rPr>
              <w:rFonts w:hint="eastAsia"/>
              <w:lang w:val="en-US" w:eastAsia="zh-CN"/>
            </w:rPr>
            <w:t>线下项目保证金</w:t>
          </w:r>
          <w:r>
            <w:rPr>
              <w:rFonts w:hint="eastAsia"/>
            </w:rPr>
            <w:t>递交</w:t>
          </w:r>
          <w:r>
            <w:tab/>
          </w:r>
          <w:r>
            <w:fldChar w:fldCharType="begin"/>
          </w:r>
          <w:r>
            <w:instrText xml:space="preserve"> PAGEREF _Toc23582 \h </w:instrText>
          </w:r>
          <w:r>
            <w:fldChar w:fldCharType="separate"/>
          </w:r>
          <w:r>
            <w:t>2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>4.1.1 保证金入口</w:t>
          </w:r>
          <w:r>
            <w:tab/>
          </w:r>
          <w:r>
            <w:fldChar w:fldCharType="begin"/>
          </w:r>
          <w:r>
            <w:instrText xml:space="preserve"> PAGEREF _Toc12746 \h </w:instrText>
          </w:r>
          <w:r>
            <w:fldChar w:fldCharType="separate"/>
          </w:r>
          <w:r>
            <w:t>2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>4.1.2 选择需要递交保证金的项目</w:t>
          </w:r>
          <w:r>
            <w:tab/>
          </w:r>
          <w:r>
            <w:fldChar w:fldCharType="begin"/>
          </w:r>
          <w:r>
            <w:instrText xml:space="preserve"> PAGEREF _Toc26831 \h </w:instrText>
          </w:r>
          <w:r>
            <w:fldChar w:fldCharType="separate"/>
          </w:r>
          <w:r>
            <w:t>3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>4.1.3 补入相关数据</w:t>
          </w:r>
          <w:r>
            <w:tab/>
          </w:r>
          <w:r>
            <w:fldChar w:fldCharType="begin"/>
          </w:r>
          <w:r>
            <w:instrText xml:space="preserve"> PAGEREF _Toc32662 \h </w:instrText>
          </w:r>
          <w:r>
            <w:fldChar w:fldCharType="separate"/>
          </w:r>
          <w:r>
            <w:t>3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>4.1.4 提交审核</w:t>
          </w:r>
          <w:r>
            <w:tab/>
          </w:r>
          <w:r>
            <w:fldChar w:fldCharType="begin"/>
          </w:r>
          <w:r>
            <w:instrText xml:space="preserve"> PAGEREF _Toc7148 \h </w:instrText>
          </w:r>
          <w:r>
            <w:fldChar w:fldCharType="separate"/>
          </w:r>
          <w:r>
            <w:t>4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 xml:space="preserve">4.1.5 </w:t>
          </w:r>
          <w:r>
            <w:rPr>
              <w:rFonts w:hint="eastAsia"/>
              <w:lang w:val="en-US" w:eastAsia="zh-CN"/>
            </w:rPr>
            <w:t>投标</w:t>
          </w:r>
          <w:r>
            <w:rPr>
              <w:rFonts w:hint="eastAsia"/>
            </w:rPr>
            <w:t>校验</w:t>
          </w:r>
          <w:r>
            <w:tab/>
          </w:r>
          <w:r>
            <w:fldChar w:fldCharType="begin"/>
          </w:r>
          <w:r>
            <w:instrText xml:space="preserve"> PAGEREF _Toc10330 \h </w:instrText>
          </w:r>
          <w:r>
            <w:fldChar w:fldCharType="separate"/>
          </w:r>
          <w:r>
            <w:t>5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 xml:space="preserve">4.2 </w:t>
          </w:r>
          <w:r>
            <w:rPr>
              <w:rFonts w:hint="eastAsia"/>
              <w:lang w:val="en-US" w:eastAsia="zh-CN"/>
            </w:rPr>
            <w:t>虚拟子账号项目保证金</w:t>
          </w:r>
          <w:r>
            <w:rPr>
              <w:rFonts w:hint="eastAsia"/>
            </w:rPr>
            <w:t>递交</w:t>
          </w:r>
          <w:r>
            <w:tab/>
          </w:r>
          <w:r>
            <w:fldChar w:fldCharType="begin"/>
          </w:r>
          <w:r>
            <w:instrText xml:space="preserve"> PAGEREF _Toc5227 \h </w:instrText>
          </w:r>
          <w:r>
            <w:fldChar w:fldCharType="separate"/>
          </w:r>
          <w:r>
            <w:t>5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>4.2.1 保证金递交提示</w:t>
          </w:r>
          <w:r>
            <w:tab/>
          </w:r>
          <w:r>
            <w:fldChar w:fldCharType="begin"/>
          </w:r>
          <w:r>
            <w:instrText xml:space="preserve"> PAGEREF _Toc15129 \h </w:instrText>
          </w:r>
          <w:r>
            <w:fldChar w:fldCharType="separate"/>
          </w:r>
          <w:r>
            <w:t>5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t>4.2.2 获取虚拟子账号</w:t>
          </w:r>
          <w:r>
            <w:tab/>
          </w:r>
          <w:r>
            <w:fldChar w:fldCharType="begin"/>
          </w:r>
          <w:r>
            <w:instrText xml:space="preserve"> PAGEREF _Toc27041 \h </w:instrText>
          </w:r>
          <w:r>
            <w:fldChar w:fldCharType="separate"/>
          </w:r>
          <w:r>
            <w:t>5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 xml:space="preserve">4.2.3 </w:t>
          </w:r>
          <w:r>
            <w:rPr>
              <w:rFonts w:hint="eastAsia"/>
              <w:lang w:val="en-US" w:eastAsia="zh-CN"/>
            </w:rPr>
            <w:t>保证金递交</w:t>
          </w:r>
          <w:r>
            <w:tab/>
          </w:r>
          <w:r>
            <w:fldChar w:fldCharType="begin"/>
          </w:r>
          <w:r>
            <w:instrText xml:space="preserve"> PAGEREF _Toc3265 \h </w:instrText>
          </w:r>
          <w:r>
            <w:fldChar w:fldCharType="separate"/>
          </w:r>
          <w:r>
            <w:t>6</w:t>
          </w:r>
          <w:r>
            <w:fldChar w:fldCharType="end"/>
          </w:r>
        </w:p>
        <w:p>
          <w:pPr>
            <w:pStyle w:val="7"/>
            <w:tabs>
              <w:tab w:val="right" w:leader="dot" w:pos="8306"/>
            </w:tabs>
          </w:pPr>
          <w:r>
            <w:rPr>
              <w:rFonts w:hint="eastAsia"/>
            </w:rPr>
            <w:t>4.2.4 保证金递交校验</w:t>
          </w:r>
          <w:r>
            <w:tab/>
          </w:r>
          <w:r>
            <w:fldChar w:fldCharType="begin"/>
          </w:r>
          <w:r>
            <w:instrText xml:space="preserve"> PAGEREF _Toc5097 \h </w:instrText>
          </w:r>
          <w:r>
            <w:fldChar w:fldCharType="separate"/>
          </w:r>
          <w:r>
            <w:t>6</w:t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/>
            </w:rPr>
            <w:t>5 年度保证金递交</w:t>
          </w:r>
          <w:r>
            <w:tab/>
          </w:r>
          <w:r>
            <w:fldChar w:fldCharType="begin"/>
          </w:r>
          <w:r>
            <w:instrText xml:space="preserve"> PAGEREF _Toc30405 \h </w:instrText>
          </w:r>
          <w:r>
            <w:fldChar w:fldCharType="separate"/>
          </w:r>
          <w:r>
            <w:t>7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 xml:space="preserve">5.1 </w:t>
          </w:r>
          <w:r>
            <w:rPr>
              <w:rFonts w:hint="eastAsia"/>
              <w:lang w:val="en-US" w:eastAsia="zh-CN"/>
            </w:rPr>
            <w:t>年度保证金缴纳标准</w:t>
          </w:r>
          <w:r>
            <w:tab/>
          </w:r>
          <w:r>
            <w:fldChar w:fldCharType="begin"/>
          </w:r>
          <w:r>
            <w:instrText xml:space="preserve"> PAGEREF _Toc18280 \h </w:instrText>
          </w:r>
          <w:r>
            <w:fldChar w:fldCharType="separate"/>
          </w:r>
          <w:r>
            <w:t>7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>5.2 年度保证金入口</w:t>
          </w:r>
          <w:r>
            <w:tab/>
          </w:r>
          <w:r>
            <w:fldChar w:fldCharType="begin"/>
          </w:r>
          <w:r>
            <w:instrText xml:space="preserve"> PAGEREF _Toc841 \h </w:instrText>
          </w:r>
          <w:r>
            <w:fldChar w:fldCharType="separate"/>
          </w:r>
          <w:r>
            <w:t>8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 xml:space="preserve">5.3 </w:t>
          </w:r>
          <w:r>
            <w:rPr>
              <w:rFonts w:hint="eastAsia"/>
              <w:lang w:val="en-US" w:eastAsia="zh-CN"/>
            </w:rPr>
            <w:t>获取保证金递交账号</w:t>
          </w:r>
          <w:r>
            <w:tab/>
          </w:r>
          <w:r>
            <w:fldChar w:fldCharType="begin"/>
          </w:r>
          <w:r>
            <w:instrText xml:space="preserve"> PAGEREF _Toc14842 \h </w:instrText>
          </w:r>
          <w:r>
            <w:fldChar w:fldCharType="separate"/>
          </w:r>
          <w:r>
            <w:t>8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>5.4 年度保证金提交完成</w:t>
          </w:r>
          <w:r>
            <w:tab/>
          </w:r>
          <w:r>
            <w:fldChar w:fldCharType="begin"/>
          </w:r>
          <w:r>
            <w:instrText xml:space="preserve"> PAGEREF _Toc15322 \h </w:instrText>
          </w:r>
          <w:r>
            <w:fldChar w:fldCharType="separate"/>
          </w:r>
          <w:r>
            <w:t>9</w:t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/>
            </w:rPr>
            <w:t>6 年度保证金退还</w:t>
          </w:r>
          <w:r>
            <w:tab/>
          </w:r>
          <w:r>
            <w:fldChar w:fldCharType="begin"/>
          </w:r>
          <w:r>
            <w:instrText xml:space="preserve"> PAGEREF _Toc21907 \h </w:instrText>
          </w:r>
          <w:r>
            <w:fldChar w:fldCharType="separate"/>
          </w:r>
          <w:r>
            <w:t>9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>6.1 退还入口</w:t>
          </w:r>
          <w:r>
            <w:tab/>
          </w:r>
          <w:r>
            <w:fldChar w:fldCharType="begin"/>
          </w:r>
          <w:r>
            <w:instrText xml:space="preserve"> PAGEREF _Toc14031 \h </w:instrText>
          </w:r>
          <w:r>
            <w:fldChar w:fldCharType="separate"/>
          </w:r>
          <w:r>
            <w:t>10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>6.2 退还确认</w:t>
          </w:r>
          <w:r>
            <w:tab/>
          </w:r>
          <w:r>
            <w:fldChar w:fldCharType="begin"/>
          </w:r>
          <w:r>
            <w:instrText xml:space="preserve"> PAGEREF _Toc8852 \h </w:instrText>
          </w:r>
          <w:r>
            <w:fldChar w:fldCharType="separate"/>
          </w:r>
          <w:r>
            <w:t>11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>6.3 年度保证金相关操作</w:t>
          </w:r>
          <w:r>
            <w:tab/>
          </w:r>
          <w:r>
            <w:fldChar w:fldCharType="begin"/>
          </w:r>
          <w:r>
            <w:instrText xml:space="preserve"> PAGEREF _Toc8388 \h </w:instrText>
          </w:r>
          <w:r>
            <w:fldChar w:fldCharType="separate"/>
          </w:r>
          <w:r>
            <w:t>11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</w:rPr>
            <w:t>6.4 年度保证金退还完成</w:t>
          </w:r>
          <w:r>
            <w:tab/>
          </w:r>
          <w:r>
            <w:fldChar w:fldCharType="begin"/>
          </w:r>
          <w:r>
            <w:instrText xml:space="preserve"> PAGEREF _Toc20970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t>7 常见问题指引</w:t>
          </w:r>
          <w:r>
            <w:tab/>
          </w:r>
          <w:r>
            <w:fldChar w:fldCharType="begin"/>
          </w:r>
          <w:r>
            <w:instrText xml:space="preserve"> PAGEREF _Toc10953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t>7.1 提示企业缺少银行信息</w:t>
          </w:r>
          <w:r>
            <w:tab/>
          </w:r>
          <w:r>
            <w:fldChar w:fldCharType="begin"/>
          </w:r>
          <w:r>
            <w:instrText xml:space="preserve"> PAGEREF _Toc19688 \h </w:instrText>
          </w:r>
          <w:r>
            <w:fldChar w:fldCharType="separate"/>
          </w:r>
          <w:r>
            <w:t>12</w:t>
          </w:r>
          <w: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t>7.2 何时需要缴纳保证金</w:t>
          </w:r>
          <w:r>
            <w:tab/>
          </w:r>
          <w:r>
            <w:fldChar w:fldCharType="begin"/>
          </w:r>
          <w:r>
            <w:instrText xml:space="preserve"> PAGEREF _Toc19266 \h </w:instrText>
          </w:r>
          <w:r>
            <w:fldChar w:fldCharType="separate"/>
          </w:r>
          <w:r>
            <w:t>13</w:t>
          </w:r>
          <w:r>
            <w:fldChar w:fldCharType="end"/>
          </w:r>
        </w:p>
        <w:p>
          <w:pPr>
            <w:ind w:left="480"/>
          </w:pPr>
          <w:r>
            <w:rPr>
              <w:rFonts w:hint="eastAsia" w:ascii="宋体" w:hAnsi="宋体" w:eastAsia="宋体" w:cs="宋体"/>
              <w:szCs w:val="21"/>
            </w:rPr>
            <w:fldChar w:fldCharType="end"/>
          </w:r>
        </w:p>
      </w:sdtContent>
    </w:sdt>
    <w:p>
      <w:pPr>
        <w:pStyle w:val="2"/>
        <w:ind w:left="480"/>
        <w:sectPr>
          <w:pgSz w:w="11906" w:h="16838"/>
          <w:pgMar w:top="1440" w:right="1800" w:bottom="1440" w:left="1800" w:header="851" w:footer="992" w:gutter="0"/>
          <w:pgNumType w:fmt="upperRoman"/>
          <w:cols w:space="425" w:num="1"/>
          <w:docGrid w:type="lines" w:linePitch="312" w:charSpace="0"/>
        </w:sectPr>
      </w:pPr>
      <w:bookmarkStart w:id="0" w:name="_Toc4183"/>
      <w:bookmarkStart w:id="1" w:name="_Toc121253538"/>
    </w:p>
    <w:p>
      <w:pPr>
        <w:pStyle w:val="2"/>
      </w:pPr>
      <w:bookmarkStart w:id="2" w:name="_Toc23834"/>
      <w:r>
        <w:rPr>
          <w:rFonts w:hint="eastAsia"/>
        </w:rPr>
        <w:t>交易平台使用要求</w:t>
      </w:r>
      <w:bookmarkEnd w:id="0"/>
      <w:bookmarkEnd w:id="1"/>
      <w:bookmarkEnd w:id="2"/>
    </w:p>
    <w:p>
      <w:pPr>
        <w:pStyle w:val="19"/>
      </w:pPr>
      <w:r>
        <w:rPr>
          <w:rFonts w:hint="eastAsia"/>
        </w:rPr>
        <w:t>（一）电脑环境：建议使用WIN7及以上版本系统；office 2010（激活版）及以上版本；</w:t>
      </w:r>
    </w:p>
    <w:p>
      <w:pPr>
        <w:pStyle w:val="19"/>
      </w:pPr>
      <w:r>
        <w:rPr>
          <w:rFonts w:hint="eastAsia"/>
        </w:rPr>
        <w:t>（二）运行本平台时，必须连接 Internet 之后进行操作；</w:t>
      </w:r>
    </w:p>
    <w:p>
      <w:pPr>
        <w:pStyle w:val="19"/>
      </w:pPr>
      <w:r>
        <w:rPr>
          <w:rFonts w:hint="eastAsia"/>
        </w:rPr>
        <w:t>（三）浏览器：建议使用</w:t>
      </w:r>
      <w:r>
        <w:t>Google Chrome</w:t>
      </w:r>
      <w:r>
        <w:rPr>
          <w:rFonts w:hint="eastAsia"/>
        </w:rPr>
        <w:t>浏览器；</w:t>
      </w:r>
    </w:p>
    <w:p>
      <w:pPr>
        <w:pStyle w:val="2"/>
      </w:pPr>
      <w:bookmarkStart w:id="3" w:name="_Toc121253540"/>
      <w:bookmarkStart w:id="4" w:name="_Toc30355"/>
      <w:r>
        <w:rPr>
          <w:rFonts w:hint="eastAsia"/>
        </w:rPr>
        <w:t>用户登录</w:t>
      </w:r>
      <w:bookmarkEnd w:id="3"/>
      <w:bookmarkEnd w:id="4"/>
    </w:p>
    <w:p>
      <w:pPr>
        <w:pStyle w:val="19"/>
      </w:pPr>
      <w:r>
        <w:rPr>
          <w:rFonts w:hint="eastAsia"/>
        </w:rPr>
        <w:t>点击平台网站首页（</w:t>
      </w:r>
      <w:r>
        <w:t>http://scm.harbin-electric.com</w:t>
      </w:r>
      <w:r>
        <w:rPr>
          <w:rFonts w:hint="eastAsia"/>
        </w:rPr>
        <w:t>）进入主界面</w:t>
      </w:r>
    </w:p>
    <w:p>
      <w:r>
        <w:drawing>
          <wp:inline distT="0" distB="0" distL="114300" distR="114300">
            <wp:extent cx="5266690" cy="2799080"/>
            <wp:effectExtent l="0" t="0" r="6350" b="5080"/>
            <wp:docPr id="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9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哈电采购平台首页</w:t>
      </w:r>
    </w:p>
    <w:p>
      <w:r>
        <w:drawing>
          <wp:inline distT="0" distB="0" distL="114300" distR="114300">
            <wp:extent cx="5266055" cy="2797810"/>
            <wp:effectExtent l="0" t="0" r="698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登录页面</w:t>
      </w:r>
    </w:p>
    <w:p>
      <w:pPr>
        <w:pStyle w:val="2"/>
      </w:pPr>
      <w:bookmarkStart w:id="5" w:name="_Toc13817"/>
      <w:r>
        <w:rPr>
          <w:rFonts w:hint="eastAsia"/>
          <w:lang w:val="en-US" w:eastAsia="zh-CN"/>
        </w:rPr>
        <w:t>企业基本户维护</w:t>
      </w:r>
      <w:bookmarkEnd w:id="5"/>
    </w:p>
    <w:p>
      <w:pPr>
        <w:spacing w:line="360" w:lineRule="auto"/>
        <w:ind w:firstLine="420" w:firstLineChars="0"/>
        <w:rPr>
          <w:rFonts w:hint="eastAsia" w:ascii="宋体" w:hAnsi="宋体" w:eastAsia="宋体" w:cs="Times New Roman"/>
          <w:color w:val="0000FF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color w:val="0000FF"/>
          <w:kern w:val="2"/>
          <w:sz w:val="24"/>
          <w:szCs w:val="28"/>
          <w:lang w:val="en-US" w:eastAsia="zh-CN" w:bidi="ar-SA"/>
        </w:rPr>
        <w:t>在进行保证金递交前，请确认本企业基本户维护完整且准确无误。以下为企业基本户维护入口。</w:t>
      </w:r>
    </w:p>
    <w:p>
      <w:pPr>
        <w:spacing w:line="360" w:lineRule="auto"/>
      </w:pPr>
      <w:r>
        <w:drawing>
          <wp:inline distT="0" distB="0" distL="114300" distR="114300">
            <wp:extent cx="5266690" cy="2891155"/>
            <wp:effectExtent l="0" t="0" r="6350" b="444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企业基本户维护界面</w:t>
      </w:r>
    </w:p>
    <w:p>
      <w:pPr>
        <w:pStyle w:val="2"/>
      </w:pPr>
      <w:bookmarkStart w:id="6" w:name="_Toc27973"/>
      <w:r>
        <w:rPr>
          <w:rFonts w:hint="eastAsia"/>
        </w:rPr>
        <w:t>项目保证金递交</w:t>
      </w:r>
      <w:bookmarkEnd w:id="6"/>
    </w:p>
    <w:p>
      <w:pPr>
        <w:pStyle w:val="3"/>
      </w:pPr>
      <w:bookmarkStart w:id="7" w:name="_Toc23582"/>
      <w:r>
        <w:rPr>
          <w:rFonts w:hint="eastAsia"/>
          <w:lang w:val="en-US" w:eastAsia="zh-CN"/>
        </w:rPr>
        <w:t>线下项目保证金</w:t>
      </w:r>
      <w:r>
        <w:rPr>
          <w:rFonts w:hint="eastAsia"/>
        </w:rPr>
        <w:t>递交</w:t>
      </w:r>
      <w:bookmarkEnd w:id="7"/>
    </w:p>
    <w:p>
      <w:pPr>
        <w:pStyle w:val="4"/>
      </w:pPr>
      <w:bookmarkStart w:id="8" w:name="_Toc12746"/>
      <w:r>
        <w:rPr>
          <w:rFonts w:hint="eastAsia"/>
        </w:rPr>
        <w:t>保证金入口</w:t>
      </w:r>
      <w:bookmarkEnd w:id="8"/>
    </w:p>
    <w:p>
      <w:pPr>
        <w:pStyle w:val="19"/>
        <w:rPr>
          <w:rFonts w:hint="default" w:eastAsia="宋体"/>
          <w:lang w:val="en-US" w:eastAsia="zh-CN"/>
        </w:rPr>
      </w:pPr>
      <w:r>
        <w:rPr>
          <w:rFonts w:hint="eastAsia"/>
        </w:rPr>
        <w:t>保证金管理》递交保证金》</w:t>
      </w:r>
      <w:r>
        <w:rPr>
          <w:rFonts w:hint="eastAsia"/>
          <w:lang w:val="en-US" w:eastAsia="zh-CN"/>
        </w:rPr>
        <w:t>递交线下项目保证金</w:t>
      </w:r>
    </w:p>
    <w:p>
      <w:r>
        <w:drawing>
          <wp:inline distT="0" distB="0" distL="114300" distR="114300">
            <wp:extent cx="5266690" cy="2882900"/>
            <wp:effectExtent l="0" t="0" r="6350" b="1270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rPr>
          <w:rFonts w:hint="eastAsia"/>
          <w:lang w:val="en-US" w:eastAsia="zh-CN"/>
        </w:rPr>
        <w:t>线下项目保证金递交</w:t>
      </w:r>
      <w:r>
        <w:t>入口</w:t>
      </w:r>
    </w:p>
    <w:p/>
    <w:p/>
    <w:p>
      <w:pPr>
        <w:pStyle w:val="4"/>
      </w:pPr>
      <w:bookmarkStart w:id="9" w:name="_Toc26831"/>
      <w:r>
        <w:rPr>
          <w:rFonts w:hint="eastAsia"/>
        </w:rPr>
        <w:t>选择需要递交保证金的项目</w:t>
      </w:r>
      <w:bookmarkEnd w:id="9"/>
    </w:p>
    <w:p>
      <w:r>
        <w:drawing>
          <wp:inline distT="0" distB="0" distL="114300" distR="114300">
            <wp:extent cx="5269865" cy="2828925"/>
            <wp:effectExtent l="0" t="0" r="3175" b="571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选择相应的项目</w:t>
      </w:r>
    </w:p>
    <w:p>
      <w:pPr>
        <w:pStyle w:val="4"/>
      </w:pPr>
      <w:bookmarkStart w:id="10" w:name="_Toc32662"/>
      <w:r>
        <w:rPr>
          <w:rFonts w:hint="eastAsia"/>
        </w:rPr>
        <w:t>补入相关数据</w:t>
      </w:r>
      <w:bookmarkEnd w:id="10"/>
    </w:p>
    <w:p>
      <w:pPr>
        <w:pStyle w:val="19"/>
        <w:rPr>
          <w:rFonts w:hint="default" w:eastAsia="宋体"/>
          <w:lang w:val="en-US" w:eastAsia="zh-CN"/>
        </w:rPr>
      </w:pPr>
      <w:r>
        <w:rPr>
          <w:rFonts w:hint="eastAsia"/>
        </w:rPr>
        <w:t>填入相关数据，请按照实际情况选择递交方式（相关数据为测试数据，请按照实际填写）</w:t>
      </w:r>
      <w:r>
        <w:rPr>
          <w:rFonts w:hint="eastAsia"/>
          <w:lang w:eastAsia="zh-CN"/>
        </w:rPr>
        <w:t>，</w:t>
      </w:r>
      <w:r>
        <w:rPr>
          <w:rFonts w:hint="eastAsia"/>
          <w:color w:val="0000FF"/>
          <w:lang w:val="en-US" w:eastAsia="zh-CN"/>
        </w:rPr>
        <w:t>请注意或确认保证金保证金转入账户信息，请正确填写保证金转出账户信息，以便能够正常退款</w:t>
      </w:r>
      <w:r>
        <w:rPr>
          <w:rFonts w:hint="eastAsia"/>
          <w:lang w:val="en-US" w:eastAsia="zh-CN"/>
        </w:rPr>
        <w:t>。</w:t>
      </w:r>
    </w:p>
    <w:p>
      <w:pPr>
        <w:pStyle w:val="19"/>
      </w:pPr>
      <w:r>
        <w:rPr>
          <w:rFonts w:hint="eastAsia"/>
        </w:rPr>
        <w:t>特别说明：</w:t>
      </w:r>
    </w:p>
    <w:p>
      <w:pPr>
        <w:pStyle w:val="19"/>
        <w:numPr>
          <w:ilvl w:val="0"/>
          <w:numId w:val="2"/>
        </w:numPr>
        <w:ind w:firstLineChars="0"/>
      </w:pPr>
      <w:r>
        <w:rPr>
          <w:rFonts w:hint="eastAsia"/>
        </w:rPr>
        <w:t>请仔细核对标段/项目名称和标段/项目编号，避免出错。</w:t>
      </w:r>
    </w:p>
    <w:p>
      <w:pPr>
        <w:pStyle w:val="19"/>
        <w:numPr>
          <w:ilvl w:val="0"/>
          <w:numId w:val="2"/>
        </w:numPr>
        <w:ind w:firstLineChars="0"/>
      </w:pPr>
      <w:r>
        <w:rPr>
          <w:rFonts w:hint="eastAsia"/>
        </w:rPr>
        <w:t>线下转账时，请根据项目保证金金额足额缴纳，避免影响正常投标。</w:t>
      </w:r>
    </w:p>
    <w:p>
      <w:pPr>
        <w:pStyle w:val="19"/>
        <w:numPr>
          <w:ilvl w:val="0"/>
          <w:numId w:val="2"/>
        </w:numPr>
        <w:ind w:firstLineChars="0"/>
      </w:pPr>
      <w:r>
        <w:rPr>
          <w:rFonts w:hint="eastAsia"/>
        </w:rPr>
        <w:t>请确认转出方信息准确无误，避免保证金退还时异常，如信息有变更，请及时联系平台方。</w:t>
      </w:r>
    </w:p>
    <w:p>
      <w:pPr>
        <w:pStyle w:val="19"/>
        <w:numPr>
          <w:ilvl w:val="0"/>
          <w:numId w:val="2"/>
        </w:numPr>
        <w:ind w:firstLineChars="0"/>
      </w:pPr>
      <w:r>
        <w:rPr>
          <w:rFonts w:hint="eastAsia"/>
        </w:rPr>
        <w:t>请将清晰的转账凭证上传至附件处，建议上传PNG、JPG等图片格式的文件。</w:t>
      </w:r>
    </w:p>
    <w:p>
      <w:r>
        <w:drawing>
          <wp:inline distT="0" distB="0" distL="114300" distR="114300">
            <wp:extent cx="5266055" cy="3213735"/>
            <wp:effectExtent l="0" t="0" r="698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补入相关数据</w:t>
      </w:r>
    </w:p>
    <w:p>
      <w:pPr>
        <w:pStyle w:val="4"/>
      </w:pPr>
      <w:bookmarkStart w:id="11" w:name="_Toc7148"/>
      <w:r>
        <w:rPr>
          <w:rFonts w:hint="eastAsia"/>
        </w:rPr>
        <w:t>提交审核</w:t>
      </w:r>
      <w:bookmarkEnd w:id="11"/>
    </w:p>
    <w:p>
      <w:pPr>
        <w:pStyle w:val="19"/>
      </w:pPr>
      <w:r>
        <w:rPr>
          <w:rFonts w:hint="eastAsia"/>
        </w:rPr>
        <w:t>数据补入完成并确保无误提交后，将递交数据推送给哈电集团相关单位进行审核，当显示为审核中时即为提交成功，如信息填写有误，可执行撤回操作，修改后重新提交即可。</w:t>
      </w:r>
    </w:p>
    <w:p>
      <w:r>
        <w:drawing>
          <wp:inline distT="0" distB="0" distL="114300" distR="114300">
            <wp:extent cx="5266690" cy="2800985"/>
            <wp:effectExtent l="0" t="0" r="6350" b="317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其他相关操作</w:t>
      </w:r>
    </w:p>
    <w:p>
      <w:pPr>
        <w:pStyle w:val="19"/>
        <w:rPr>
          <w:rFonts w:hint="eastAsia"/>
        </w:rPr>
      </w:pPr>
      <w:r>
        <w:rPr>
          <w:rFonts w:hint="eastAsia"/>
        </w:rPr>
        <w:t>审核通过即为保证金递交完成。</w:t>
      </w:r>
    </w:p>
    <w:p>
      <w:pPr>
        <w:pStyle w:val="4"/>
      </w:pPr>
      <w:bookmarkStart w:id="12" w:name="_Toc10330"/>
      <w:r>
        <w:rPr>
          <w:rFonts w:hint="eastAsia"/>
          <w:lang w:val="en-US" w:eastAsia="zh-CN"/>
        </w:rPr>
        <w:t>投标</w:t>
      </w:r>
      <w:r>
        <w:rPr>
          <w:rFonts w:hint="eastAsia"/>
        </w:rPr>
        <w:t>校验</w:t>
      </w:r>
      <w:bookmarkEnd w:id="12"/>
    </w:p>
    <w:p>
      <w:pPr>
        <w:spacing w:line="360" w:lineRule="auto"/>
        <w:ind w:firstLine="420" w:firstLineChars="0"/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  <w:t>点击“投标报价”时，如果未完成保证金递交及审核，将无法完成报价。若尚未成功缴纳保证金，可点击“保证金递交页面”自动跳转到保证金递交页面，查看保证金递交情况（未递交、审核中、审核不通过），根据具体情况执行相应的操作：未递交——递交保证金；审核中——联系保证金转入方，核实审批情况；审核不通过——根据审核提示修改后重新提交。</w:t>
      </w:r>
    </w:p>
    <w:p>
      <w:pPr>
        <w:pStyle w:val="3"/>
      </w:pPr>
      <w:bookmarkStart w:id="13" w:name="_Toc5227"/>
      <w:r>
        <w:rPr>
          <w:rFonts w:hint="eastAsia"/>
          <w:lang w:val="en-US" w:eastAsia="zh-CN"/>
        </w:rPr>
        <w:t>虚拟子账号项目保证金</w:t>
      </w:r>
      <w:r>
        <w:rPr>
          <w:rFonts w:hint="eastAsia"/>
        </w:rPr>
        <w:t>递交</w:t>
      </w:r>
      <w:bookmarkEnd w:id="13"/>
    </w:p>
    <w:p>
      <w:pPr>
        <w:pStyle w:val="4"/>
      </w:pPr>
      <w:bookmarkStart w:id="14" w:name="_Toc15129"/>
      <w:r>
        <w:rPr>
          <w:rFonts w:hint="eastAsia"/>
        </w:rPr>
        <w:t>保证金递交提示</w:t>
      </w:r>
      <w:bookmarkEnd w:id="14"/>
    </w:p>
    <w:p>
      <w:pPr>
        <w:pStyle w:val="19"/>
      </w:pPr>
      <w:r>
        <w:rPr>
          <w:rFonts w:hint="eastAsia"/>
          <w:lang w:val="en-US" w:eastAsia="zh-CN"/>
        </w:rPr>
        <w:t>当保证金的缴纳方式为虚拟子账号且按项目缴纳是，供应商</w:t>
      </w:r>
      <w:r>
        <w:rPr>
          <w:rFonts w:hint="eastAsia"/>
        </w:rPr>
        <w:t>成功签收项目后，进入采购文件下载操作，系统会弹出保证金递交提示，</w:t>
      </w:r>
      <w:r>
        <w:rPr>
          <w:rFonts w:hint="eastAsia"/>
          <w:lang w:val="en-US" w:eastAsia="zh-CN"/>
        </w:rPr>
        <w:t>单击“关闭”，</w:t>
      </w:r>
      <w:r>
        <w:rPr>
          <w:rFonts w:hint="eastAsia"/>
        </w:rPr>
        <w:t>保证金递交与否，不影响采购文件的下载。</w:t>
      </w:r>
    </w:p>
    <w:p>
      <w:r>
        <w:drawing>
          <wp:inline distT="0" distB="0" distL="114300" distR="114300">
            <wp:extent cx="5266690" cy="2800985"/>
            <wp:effectExtent l="0" t="0" r="6350" b="317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eastAsia"/>
        </w:rPr>
      </w:pPr>
      <w:r>
        <w:rPr>
          <w:rFonts w:hint="eastAsia"/>
        </w:rPr>
        <w:t>保证金递交提示</w:t>
      </w:r>
    </w:p>
    <w:p>
      <w:pPr>
        <w:rPr>
          <w:rFonts w:hint="eastAsia" w:eastAsiaTheme="minorEastAsia"/>
          <w:lang w:eastAsia="zh-CN"/>
        </w:rPr>
      </w:pPr>
    </w:p>
    <w:p>
      <w:pPr>
        <w:pStyle w:val="4"/>
        <w:rPr>
          <w:rFonts w:hint="eastAsia"/>
          <w:lang w:val="en-US" w:eastAsia="zh-CN"/>
        </w:rPr>
      </w:pPr>
      <w:bookmarkStart w:id="15" w:name="_Toc27041"/>
      <w:r>
        <w:rPr>
          <w:rFonts w:hint="eastAsia"/>
          <w:lang w:val="en-US" w:eastAsia="zh-CN"/>
        </w:rPr>
        <w:t>获取虚拟子账号</w:t>
      </w:r>
      <w:bookmarkEnd w:id="15"/>
    </w:p>
    <w:p>
      <w:pPr>
        <w:spacing w:line="360" w:lineRule="auto"/>
        <w:ind w:firstLine="420" w:firstLineChars="0"/>
        <w:rPr>
          <w:rFonts w:hint="default" w:ascii="宋体" w:hAnsi="宋体" w:eastAsia="宋体" w:cs="Times New Roman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  <w:t>成功下载文件后可得到“保证金告知函”，通过下载或查看告知函，可以查看保证金递交虚拟子账号，请注意子账号账户名称、开户行、账号。</w:t>
      </w:r>
    </w:p>
    <w:p>
      <w:r>
        <w:drawing>
          <wp:inline distT="0" distB="0" distL="114300" distR="114300">
            <wp:extent cx="5266690" cy="2882900"/>
            <wp:effectExtent l="0" t="0" r="6350" b="1270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下载保证金告知函</w:t>
      </w:r>
    </w:p>
    <w:p/>
    <w:p/>
    <w:p>
      <w:pPr>
        <w:pStyle w:val="4"/>
      </w:pPr>
      <w:bookmarkStart w:id="16" w:name="_Toc3265"/>
      <w:r>
        <w:rPr>
          <w:rFonts w:hint="eastAsia"/>
          <w:lang w:val="en-US" w:eastAsia="zh-CN"/>
        </w:rPr>
        <w:t>保证金递交</w:t>
      </w:r>
      <w:bookmarkEnd w:id="16"/>
    </w:p>
    <w:p>
      <w:pPr>
        <w:spacing w:line="360" w:lineRule="auto"/>
        <w:ind w:firstLine="420" w:firstLineChars="0"/>
        <w:rPr>
          <w:rFonts w:hint="default" w:ascii="宋体" w:hAnsi="宋体" w:eastAsia="宋体" w:cs="Times New Roman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  <w:t>通过企业网银或线下银行向3.2.2章节中获取的虚拟子账号中汇款，请按照保证金的金额足额汇款，否则会影响报价。</w:t>
      </w:r>
    </w:p>
    <w:p>
      <w:pPr>
        <w:pStyle w:val="4"/>
      </w:pPr>
      <w:bookmarkStart w:id="17" w:name="_Toc5097"/>
      <w:r>
        <w:rPr>
          <w:rFonts w:hint="eastAsia"/>
        </w:rPr>
        <w:t>保证金递交校验</w:t>
      </w:r>
      <w:bookmarkEnd w:id="17"/>
    </w:p>
    <w:p>
      <w:pPr>
        <w:pStyle w:val="19"/>
      </w:pPr>
      <w:r>
        <w:rPr>
          <w:rFonts w:hint="eastAsia"/>
        </w:rPr>
        <w:t>点击“投标报价”时，如果未完成保证金递交</w:t>
      </w:r>
      <w:r>
        <w:rPr>
          <w:rFonts w:hint="eastAsia"/>
          <w:lang w:val="en-US" w:eastAsia="zh-CN"/>
        </w:rPr>
        <w:t>或未足额递交保证金</w:t>
      </w:r>
      <w:r>
        <w:rPr>
          <w:rFonts w:hint="eastAsia"/>
        </w:rPr>
        <w:t>，将无法完成报价。若尚未成功缴纳保证金，</w:t>
      </w:r>
      <w:r>
        <w:rPr>
          <w:rFonts w:hint="eastAsia"/>
          <w:lang w:val="en-US" w:eastAsia="zh-CN"/>
        </w:rPr>
        <w:t>请参照3.2.2和3.2.3完成保证金子账号的查询及汇款操作</w:t>
      </w:r>
      <w:r>
        <w:rPr>
          <w:rFonts w:hint="eastAsia"/>
        </w:rPr>
        <w:t>。</w:t>
      </w:r>
    </w:p>
    <w:p/>
    <w:p/>
    <w:p/>
    <w:p/>
    <w:p/>
    <w:p/>
    <w:p/>
    <w:p/>
    <w:p/>
    <w:p/>
    <w:p/>
    <w:p/>
    <w:p>
      <w:pPr>
        <w:pStyle w:val="2"/>
      </w:pPr>
      <w:bookmarkStart w:id="18" w:name="_Toc30405"/>
      <w:r>
        <w:rPr>
          <w:rFonts w:hint="eastAsia"/>
        </w:rPr>
        <w:t>年度保证金递交</w:t>
      </w:r>
      <w:bookmarkEnd w:id="18"/>
    </w:p>
    <w:p>
      <w:pPr>
        <w:spacing w:line="360" w:lineRule="auto"/>
        <w:ind w:firstLine="420" w:firstLineChars="0"/>
        <w:rPr>
          <w:rFonts w:hint="default" w:ascii="宋体" w:hAnsi="宋体" w:eastAsia="宋体" w:cs="Times New Roman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  <w:t>目前哈电电子商务平台的年度保证金仅支持虚拟子账号，未获取虚拟子账号前，请勿进行转账操作。</w:t>
      </w:r>
    </w:p>
    <w:p>
      <w:pPr>
        <w:pStyle w:val="3"/>
      </w:pPr>
      <w:bookmarkStart w:id="19" w:name="_Toc18280"/>
      <w:r>
        <w:rPr>
          <w:rFonts w:hint="eastAsia"/>
          <w:lang w:val="en-US" w:eastAsia="zh-CN"/>
        </w:rPr>
        <w:t>年度保证金缴纳标准</w:t>
      </w:r>
      <w:bookmarkEnd w:id="19"/>
    </w:p>
    <w:p>
      <w:pPr>
        <w:pStyle w:val="19"/>
      </w:pPr>
      <w:r>
        <w:rPr>
          <w:rFonts w:hint="eastAsia"/>
        </w:rPr>
        <w:t>年度保证金的递交信息录入，此处请参照项目保证金的递交说明。充值金额与适用投标金额的范围如下，请参照“适用的项目范围”选择对应的档次进行充值，避免影响正常投标。</w:t>
      </w:r>
    </w:p>
    <w:p>
      <w:pPr>
        <w:ind w:firstLine="198" w:firstLineChars="82"/>
        <w:jc w:val="center"/>
        <w:rPr>
          <w:rFonts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年度投标保证金缴费标准</w:t>
      </w:r>
    </w:p>
    <w:tbl>
      <w:tblPr>
        <w:tblStyle w:val="13"/>
        <w:tblW w:w="70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2704"/>
        <w:gridCol w:w="3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</w:rPr>
              <w:t>档次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</w:rPr>
              <w:t>年度投标保证金交纳金额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sz w:val="20"/>
                <w:szCs w:val="20"/>
              </w:rPr>
              <w:t>适用的项目范围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5万元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投标金额≤500万元的项目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10万元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投标金额≤2000万元的项目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20万元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投标金额≤5000万元的项目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30万元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投标金额≤1亿元的项目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45万元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投标金额≤5亿元的项目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65万元</w:t>
            </w: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投标金额≤10亿元的项目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</w:t>
            </w:r>
          </w:p>
        </w:tc>
        <w:tc>
          <w:tcPr>
            <w:tcW w:w="2704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80万元</w:t>
            </w:r>
          </w:p>
          <w:p>
            <w:pPr>
              <w:ind w:firstLine="40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ind w:firstLine="40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382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所有项目</w:t>
            </w:r>
          </w:p>
        </w:tc>
      </w:tr>
    </w:tbl>
    <w:p/>
    <w:p>
      <w:r>
        <w:drawing>
          <wp:inline distT="0" distB="0" distL="114300" distR="114300">
            <wp:extent cx="5266690" cy="3203575"/>
            <wp:effectExtent l="0" t="0" r="6350" b="1206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年度保证金基础数据补入</w:t>
      </w:r>
    </w:p>
    <w:p>
      <w:pPr>
        <w:pStyle w:val="3"/>
      </w:pPr>
      <w:bookmarkStart w:id="20" w:name="_Toc841"/>
      <w:r>
        <w:rPr>
          <w:rFonts w:hint="eastAsia"/>
        </w:rPr>
        <w:t>年度保证金入口</w:t>
      </w:r>
      <w:bookmarkEnd w:id="20"/>
    </w:p>
    <w:p>
      <w:pPr>
        <w:pStyle w:val="19"/>
        <w:rPr>
          <w:rFonts w:hint="default" w:eastAsia="宋体"/>
          <w:lang w:val="en-US" w:eastAsia="zh-CN"/>
        </w:rPr>
      </w:pPr>
      <w:r>
        <w:rPr>
          <w:rFonts w:hint="eastAsia"/>
        </w:rPr>
        <w:t>》保证金管理》递交保证金》</w:t>
      </w:r>
      <w:r>
        <w:rPr>
          <w:rFonts w:hint="eastAsia"/>
          <w:lang w:val="en-US" w:eastAsia="zh-CN"/>
        </w:rPr>
        <w:t>递交年度保证金</w:t>
      </w:r>
    </w:p>
    <w:p>
      <w:r>
        <w:drawing>
          <wp:inline distT="0" distB="0" distL="114300" distR="114300">
            <wp:extent cx="5266690" cy="2891155"/>
            <wp:effectExtent l="0" t="0" r="6350" b="4445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递交年度保证金入口</w:t>
      </w:r>
    </w:p>
    <w:p>
      <w:pPr>
        <w:pStyle w:val="3"/>
      </w:pPr>
      <w:bookmarkStart w:id="21" w:name="_Toc14842"/>
      <w:r>
        <w:rPr>
          <w:rFonts w:hint="eastAsia"/>
          <w:lang w:val="en-US" w:eastAsia="zh-CN"/>
        </w:rPr>
        <w:t>获取保证金递交账号</w:t>
      </w:r>
      <w:bookmarkEnd w:id="21"/>
    </w:p>
    <w:p>
      <w:pPr>
        <w:pStyle w:val="19"/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单击“递交年度保证金”按钮，进入年度保证金递交页面</w:t>
      </w:r>
      <w:r>
        <w:rPr>
          <w:rFonts w:hint="eastAsia"/>
        </w:rPr>
        <w:t>。</w:t>
      </w:r>
    </w:p>
    <w:p>
      <w:pPr>
        <w:spacing w:line="360" w:lineRule="auto"/>
        <w:ind w:firstLine="420" w:firstLineChars="0"/>
        <w:rPr>
          <w:rFonts w:hint="default" w:ascii="宋体" w:hAnsi="宋体" w:eastAsia="宋体" w:cs="Times New Roman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  <w:t>注意：</w:t>
      </w:r>
      <w:r>
        <w:rPr>
          <w:rFonts w:hint="eastAsia" w:ascii="宋体" w:hAnsi="宋体" w:eastAsia="宋体" w:cs="Times New Roman"/>
          <w:color w:val="0000FF"/>
          <w:kern w:val="2"/>
          <w:sz w:val="24"/>
          <w:szCs w:val="28"/>
          <w:lang w:val="en-US" w:eastAsia="zh-CN" w:bidi="ar-SA"/>
        </w:rPr>
        <w:t>如您首次递交或不存在有效的递交虚拟子账号，请单击“获取保证金递交账号”，系统将会返回“保证金告知函”，在告知函中查看虚拟子账号；如您已经获取了虚拟子账号（如下图），需要补充年度保证金金额以满足更高的投标金额，请继续往此虚拟子账号中</w:t>
      </w:r>
      <w:r>
        <w:rPr>
          <w:rFonts w:hint="eastAsia" w:ascii="宋体" w:hAnsi="宋体" w:eastAsia="宋体" w:cs="Times New Roman"/>
          <w:color w:val="FF0000"/>
          <w:kern w:val="2"/>
          <w:sz w:val="24"/>
          <w:szCs w:val="28"/>
          <w:lang w:val="en-US" w:eastAsia="zh-CN" w:bidi="ar-SA"/>
        </w:rPr>
        <w:t>充值</w:t>
      </w:r>
      <w:r>
        <w:rPr>
          <w:rFonts w:hint="eastAsia" w:ascii="宋体" w:hAnsi="宋体" w:eastAsia="宋体" w:cs="Times New Roman"/>
          <w:color w:val="0000FF"/>
          <w:kern w:val="2"/>
          <w:sz w:val="24"/>
          <w:szCs w:val="28"/>
          <w:lang w:val="en-US" w:eastAsia="zh-CN" w:bidi="ar-SA"/>
        </w:rPr>
        <w:t>至满足要求的金额即可，无需重复获取子账号</w:t>
      </w:r>
      <w:r>
        <w:rPr>
          <w:rFonts w:hint="eastAsia" w:ascii="宋体" w:hAnsi="宋体" w:eastAsia="宋体" w:cs="Times New Roman"/>
          <w:kern w:val="2"/>
          <w:sz w:val="24"/>
          <w:szCs w:val="28"/>
          <w:lang w:val="en-US" w:eastAsia="zh-CN" w:bidi="ar-SA"/>
        </w:rPr>
        <w:t>。</w:t>
      </w:r>
    </w:p>
    <w:p>
      <w:r>
        <w:drawing>
          <wp:inline distT="0" distB="0" distL="114300" distR="114300">
            <wp:extent cx="5266690" cy="2882900"/>
            <wp:effectExtent l="0" t="0" r="6350" b="1270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hint="default" w:eastAsia="黑体"/>
          <w:lang w:val="en-US" w:eastAsia="zh-CN"/>
        </w:rPr>
      </w:pPr>
      <w:r>
        <w:rPr>
          <w:rFonts w:hint="eastAsia"/>
          <w:lang w:val="en-US" w:eastAsia="zh-CN"/>
        </w:rPr>
        <w:t>获取年度保证金递交账号</w:t>
      </w:r>
    </w:p>
    <w:p>
      <w:pPr>
        <w:pStyle w:val="3"/>
      </w:pPr>
      <w:bookmarkStart w:id="22" w:name="_Toc15322"/>
      <w:r>
        <w:rPr>
          <w:rFonts w:hint="eastAsia"/>
        </w:rPr>
        <w:t>年度保证金提交完成</w:t>
      </w:r>
      <w:bookmarkEnd w:id="22"/>
    </w:p>
    <w:p>
      <w:pPr>
        <w:pStyle w:val="19"/>
        <w:rPr>
          <w:rFonts w:hint="default" w:eastAsia="宋体"/>
          <w:lang w:val="en-US" w:eastAsia="zh-CN"/>
        </w:rPr>
      </w:pPr>
      <w:r>
        <w:rPr>
          <w:rFonts w:hint="eastAsia"/>
        </w:rPr>
        <w:t>当前页面显示</w:t>
      </w:r>
      <w:r>
        <w:rPr>
          <w:rFonts w:hint="eastAsia"/>
          <w:lang w:val="en-US" w:eastAsia="zh-CN"/>
        </w:rPr>
        <w:t>金额为递交后的金额时，即表示保证金递交完成且成功到账</w:t>
      </w:r>
      <w:r>
        <w:rPr>
          <w:rFonts w:hint="eastAsia"/>
        </w:rPr>
        <w:t>。</w:t>
      </w:r>
      <w:r>
        <w:rPr>
          <w:rFonts w:hint="eastAsia"/>
          <w:color w:val="0070C0"/>
          <w:lang w:val="en-US" w:eastAsia="zh-CN"/>
        </w:rPr>
        <w:t>注意：此结果返回大概需要5分钟，若长时间未返回，请联系平台方。</w:t>
      </w:r>
    </w:p>
    <w:p>
      <w:r>
        <w:drawing>
          <wp:inline distT="0" distB="0" distL="114300" distR="114300">
            <wp:extent cx="5266690" cy="2886075"/>
            <wp:effectExtent l="0" t="0" r="6350" b="952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年度保证金充值完成</w:t>
      </w:r>
    </w:p>
    <w:p>
      <w:pPr>
        <w:pStyle w:val="2"/>
      </w:pPr>
      <w:bookmarkStart w:id="23" w:name="_Toc21907"/>
      <w:r>
        <w:rPr>
          <w:rFonts w:hint="eastAsia"/>
        </w:rPr>
        <w:t>年度保证金退还</w:t>
      </w:r>
      <w:bookmarkEnd w:id="23"/>
    </w:p>
    <w:p>
      <w:pPr>
        <w:pStyle w:val="1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项目保证金在项目结束后，有招标人进行退还。</w:t>
      </w:r>
    </w:p>
    <w:p>
      <w:pPr>
        <w:pStyle w:val="19"/>
      </w:pPr>
      <w:r>
        <w:rPr>
          <w:rFonts w:hint="eastAsia"/>
        </w:rPr>
        <w:t>年度保证金递交成功且满365个自然天后，可发起退还申请操作。特殊情况需要提前退还的，请事先与哈尔滨电气物资有限公司沟通。</w:t>
      </w:r>
    </w:p>
    <w:p>
      <w:pPr>
        <w:pStyle w:val="3"/>
      </w:pPr>
      <w:bookmarkStart w:id="24" w:name="_Toc14031"/>
      <w:r>
        <w:rPr>
          <w:rFonts w:hint="eastAsia"/>
        </w:rPr>
        <w:t>退还入口</w:t>
      </w:r>
      <w:bookmarkEnd w:id="24"/>
    </w:p>
    <w:p>
      <w:pPr>
        <w:pStyle w:val="19"/>
      </w:pPr>
      <w:r>
        <w:rPr>
          <w:rFonts w:hint="eastAsia"/>
        </w:rPr>
        <w:t>》保证金管理》递交保证金》年度保证金》申请退还</w:t>
      </w:r>
    </w:p>
    <w:p>
      <w:r>
        <w:drawing>
          <wp:inline distT="0" distB="0" distL="114300" distR="114300">
            <wp:extent cx="5266690" cy="2880360"/>
            <wp:effectExtent l="0" t="0" r="6350" b="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年度保证金退还入口</w:t>
      </w:r>
    </w:p>
    <w:p>
      <w:r>
        <w:drawing>
          <wp:inline distT="0" distB="0" distL="114300" distR="114300">
            <wp:extent cx="5267325" cy="2385060"/>
            <wp:effectExtent l="0" t="0" r="5715" b="7620"/>
            <wp:docPr id="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申请退还操作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381250"/>
            <wp:effectExtent l="0" t="0" r="6350" b="11430"/>
            <wp:docPr id="19" name="图片 19" descr="年度保证金退款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年度保证金退款界面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退还申请</w:t>
      </w:r>
    </w:p>
    <w:p>
      <w:pPr>
        <w:pStyle w:val="3"/>
      </w:pPr>
      <w:bookmarkStart w:id="25" w:name="_Toc8852"/>
      <w:r>
        <w:rPr>
          <w:rFonts w:hint="eastAsia"/>
        </w:rPr>
        <w:t>退还确认</w:t>
      </w:r>
      <w:bookmarkEnd w:id="25"/>
    </w:p>
    <w:p>
      <w:pPr>
        <w:pStyle w:val="19"/>
      </w:pPr>
      <w:r>
        <w:rPr>
          <w:rFonts w:hint="eastAsia"/>
        </w:rPr>
        <w:t>确认是否提交保证金退回（当提交保证金退回时，退还中的项目无法应用在任何项目中）</w:t>
      </w:r>
    </w:p>
    <w:p>
      <w:r>
        <w:drawing>
          <wp:inline distT="0" distB="0" distL="114300" distR="114300">
            <wp:extent cx="5271770" cy="2423795"/>
            <wp:effectExtent l="0" t="0" r="1270" b="14605"/>
            <wp:docPr id="2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退还确认操作</w:t>
      </w:r>
    </w:p>
    <w:p>
      <w:pPr>
        <w:pStyle w:val="3"/>
      </w:pPr>
      <w:bookmarkStart w:id="26" w:name="_Toc8388"/>
      <w:r>
        <w:rPr>
          <w:rFonts w:hint="eastAsia"/>
        </w:rPr>
        <w:t>年度保证金相关操作</w:t>
      </w:r>
      <w:bookmarkEnd w:id="26"/>
    </w:p>
    <w:p>
      <w:pPr>
        <w:pStyle w:val="19"/>
      </w:pPr>
      <w:r>
        <w:rPr>
          <w:rFonts w:hint="eastAsia"/>
        </w:rPr>
        <w:t>当年度保证金显示退还中时表示在提交成功，点击查看可以查看提交的相关数据</w:t>
      </w:r>
    </w:p>
    <w:p/>
    <w:p>
      <w:r>
        <w:drawing>
          <wp:inline distT="0" distB="0" distL="114300" distR="114300">
            <wp:extent cx="5269865" cy="2353945"/>
            <wp:effectExtent l="0" t="0" r="3175" b="8255"/>
            <wp:docPr id="2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退</w:t>
      </w:r>
      <w:r>
        <w:rPr>
          <w:rFonts w:hint="eastAsia"/>
        </w:rPr>
        <w:t>还提交</w:t>
      </w:r>
      <w:r>
        <w:t>操作</w:t>
      </w:r>
      <w:r>
        <w:rPr>
          <w:rFonts w:hint="eastAsia"/>
        </w:rPr>
        <w:t>成功</w:t>
      </w:r>
    </w:p>
    <w:p>
      <w:pPr>
        <w:pStyle w:val="3"/>
      </w:pPr>
      <w:bookmarkStart w:id="27" w:name="_Toc20970"/>
      <w:r>
        <w:rPr>
          <w:rFonts w:hint="eastAsia"/>
        </w:rPr>
        <w:t>年度保证金退还完成</w:t>
      </w:r>
      <w:bookmarkEnd w:id="27"/>
    </w:p>
    <w:p>
      <w:pPr>
        <w:pStyle w:val="19"/>
      </w:pPr>
      <w:r>
        <w:rPr>
          <w:rFonts w:hint="eastAsia"/>
        </w:rPr>
        <w:t>当订单状态显示已退还表示退还完成，点击查看可以查看退还相关数据情况</w:t>
      </w:r>
    </w:p>
    <w:p>
      <w:r>
        <w:drawing>
          <wp:inline distT="0" distB="0" distL="114300" distR="114300">
            <wp:extent cx="5266690" cy="2360930"/>
            <wp:effectExtent l="0" t="0" r="6350" b="1270"/>
            <wp:docPr id="2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</w:pPr>
      <w:r>
        <w:t>年度保证金退还完成</w:t>
      </w:r>
    </w:p>
    <w:p/>
    <w:p/>
    <w:p>
      <w:pPr>
        <w:pStyle w:val="2"/>
        <w:rPr>
          <w:rFonts w:hint="default"/>
          <w:lang w:val="en-US" w:eastAsia="zh-CN"/>
        </w:rPr>
      </w:pPr>
      <w:bookmarkStart w:id="28" w:name="_Toc10953"/>
      <w:r>
        <w:rPr>
          <w:rFonts w:hint="eastAsia"/>
          <w:lang w:val="en-US" w:eastAsia="zh-CN"/>
        </w:rPr>
        <w:t>常见问题指引</w:t>
      </w:r>
      <w:bookmarkEnd w:id="28"/>
    </w:p>
    <w:p>
      <w:pPr>
        <w:pStyle w:val="3"/>
        <w:rPr>
          <w:rFonts w:hint="default"/>
          <w:lang w:val="en-US" w:eastAsia="zh-CN"/>
        </w:rPr>
      </w:pPr>
      <w:bookmarkStart w:id="29" w:name="_Toc19688"/>
      <w:r>
        <w:rPr>
          <w:rFonts w:hint="eastAsia"/>
          <w:lang w:val="en-US" w:eastAsia="zh-CN"/>
        </w:rPr>
        <w:t>提示企业缺少银行信息</w:t>
      </w:r>
      <w:bookmarkEnd w:id="29"/>
    </w:p>
    <w:p>
      <w:pPr>
        <w:spacing w:line="360" w:lineRule="auto"/>
        <w:ind w:firstLine="42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获取年度保证金递交账号时，提示如下信息，请参照第3章节的内容，完善企业基本户信息。</w:t>
      </w:r>
    </w:p>
    <w:p>
      <w:pPr>
        <w:spacing w:line="360" w:lineRule="auto"/>
      </w:pPr>
      <w:r>
        <w:drawing>
          <wp:inline distT="0" distB="0" distL="114300" distR="114300">
            <wp:extent cx="5266690" cy="2872105"/>
            <wp:effectExtent l="0" t="0" r="6350" b="8255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  <w:lang w:val="en-US" w:eastAsia="zh-CN"/>
        </w:rPr>
      </w:pPr>
      <w:bookmarkStart w:id="30" w:name="_Toc19266"/>
      <w:r>
        <w:rPr>
          <w:rFonts w:hint="eastAsia"/>
          <w:lang w:val="en-US" w:eastAsia="zh-CN"/>
        </w:rPr>
        <w:t>何时需要缴纳保证金</w:t>
      </w:r>
      <w:bookmarkEnd w:id="30"/>
    </w:p>
    <w:p>
      <w:pPr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各采购单位（采购人）委托给哈尔滨电气物资有限公司（招标人）进行组织的采购项目，需要缴纳保证金。各采购单位（采购人）自行组织的采购项目，按采购单位要求执行。保证金递交时，请注意保证金转入单位是否准确，目前年度保证金转入单位仅支持“哈尔滨电气物资有限公司”。</w:t>
      </w:r>
    </w:p>
    <w:sectPr>
      <w:footerReference r:id="rId9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3" name="文本框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565776315"/>
                          </w:sdtPr>
                          <w:sdtContent>
                            <w:p>
                              <w:pPr>
                                <w:pStyle w:val="8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III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uduMMtAgAAVwQAAA4AAABkcnMvZTJvRG9jLnhtbK1UzY7TMBC+I/EO&#10;lu80aRd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HuduMM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565776315"/>
                    </w:sdtPr>
                    <w:sdtContent>
                      <w:p>
                        <w:pPr>
                          <w:pStyle w:val="8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III</w:t>
                        </w:r>
                        <w: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8"/>
      <w:ind w:left="48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1185360420"/>
                          </w:sdtPr>
                          <w:sdtContent>
                            <w:p>
                              <w:pPr>
                                <w:pStyle w:val="8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11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NLTQMsAgAAVwQAAA4AAABkcnMvZTJvRG9jLnhtbK1UzY7TMBC+I/EO&#10;lu80aYFV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g0tNA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1185360420"/>
                    </w:sdtPr>
                    <w:sdtContent>
                      <w:p>
                        <w:pPr>
                          <w:pStyle w:val="8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11</w:t>
                        </w:r>
                        <w: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8"/>
      <w:ind w:left="48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both"/>
      <w:rPr>
        <w:rFonts w:ascii="宋体" w:hAnsi="宋体" w:eastAsia="宋体"/>
      </w:rPr>
    </w:pPr>
    <w:r>
      <w:rPr>
        <w:rFonts w:hint="eastAsia" w:ascii="宋体" w:hAnsi="宋体" w:eastAsia="宋体"/>
      </w:rPr>
      <w:t>东风咨询有限公司</w:t>
    </w:r>
    <w:r>
      <w:rPr>
        <w:rFonts w:ascii="宋体" w:hAnsi="宋体" w:eastAsia="宋体"/>
      </w:rPr>
      <w:ptab w:relativeTo="margin" w:alignment="center" w:leader="none"/>
    </w:r>
    <w:r>
      <w:rPr>
        <w:rFonts w:ascii="宋体" w:hAnsi="宋体" w:eastAsia="宋体"/>
      </w:rPr>
      <w:ptab w:relativeTo="margin" w:alignment="right" w:leader="none"/>
    </w:r>
    <w:r>
      <w:rPr>
        <w:rFonts w:hint="eastAsia" w:ascii="宋体" w:hAnsi="宋体" w:eastAsia="宋体"/>
      </w:rPr>
      <w:t>供应商操作手册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A5CB00"/>
    <w:multiLevelType w:val="multilevel"/>
    <w:tmpl w:val="B0A5CB00"/>
    <w:lvl w:ilvl="0" w:tentative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3"/>
      <w:isLgl/>
      <w:lvlText w:val="%1.%2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4"/>
      <w:isLgl/>
      <w:lvlText w:val="%1.%2.%3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">
    <w:nsid w:val="D5735522"/>
    <w:multiLevelType w:val="singleLevel"/>
    <w:tmpl w:val="D5735522"/>
    <w:lvl w:ilvl="0" w:tentative="0">
      <w:start w:val="1"/>
      <w:numFmt w:val="bullet"/>
      <w:lvlText w:val="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FjY2I4MWUzZTc5OWNhZDYyYTIzZDE5Yzc1YzgwZTQifQ=="/>
  </w:docVars>
  <w:rsids>
    <w:rsidRoot w:val="3F814860"/>
    <w:rsid w:val="00606B50"/>
    <w:rsid w:val="006E0B59"/>
    <w:rsid w:val="009C3F41"/>
    <w:rsid w:val="00D00838"/>
    <w:rsid w:val="00F55CC6"/>
    <w:rsid w:val="06E05F89"/>
    <w:rsid w:val="091D60DE"/>
    <w:rsid w:val="0A5E5C3B"/>
    <w:rsid w:val="0B883362"/>
    <w:rsid w:val="0BEB503E"/>
    <w:rsid w:val="0C782EF0"/>
    <w:rsid w:val="0E1C0969"/>
    <w:rsid w:val="0EA224A6"/>
    <w:rsid w:val="10320275"/>
    <w:rsid w:val="113413B0"/>
    <w:rsid w:val="11CA1450"/>
    <w:rsid w:val="11CF7BC6"/>
    <w:rsid w:val="128B14A3"/>
    <w:rsid w:val="14981480"/>
    <w:rsid w:val="14AD74AF"/>
    <w:rsid w:val="19037FE5"/>
    <w:rsid w:val="1A0758B3"/>
    <w:rsid w:val="1E2E06CE"/>
    <w:rsid w:val="22514CC0"/>
    <w:rsid w:val="22921216"/>
    <w:rsid w:val="24C2092D"/>
    <w:rsid w:val="27A961FC"/>
    <w:rsid w:val="28121B45"/>
    <w:rsid w:val="29315699"/>
    <w:rsid w:val="2B456148"/>
    <w:rsid w:val="2BAA396D"/>
    <w:rsid w:val="2E8C4790"/>
    <w:rsid w:val="329C74B7"/>
    <w:rsid w:val="33CF2B0E"/>
    <w:rsid w:val="36F303B8"/>
    <w:rsid w:val="398443D3"/>
    <w:rsid w:val="39D7459C"/>
    <w:rsid w:val="3DE6740A"/>
    <w:rsid w:val="3F814860"/>
    <w:rsid w:val="426D634C"/>
    <w:rsid w:val="45E5269D"/>
    <w:rsid w:val="49534076"/>
    <w:rsid w:val="4D112661"/>
    <w:rsid w:val="4D44414D"/>
    <w:rsid w:val="4DF27705"/>
    <w:rsid w:val="4FAC640E"/>
    <w:rsid w:val="50100A8E"/>
    <w:rsid w:val="51C339E9"/>
    <w:rsid w:val="52E220DD"/>
    <w:rsid w:val="535B5D4C"/>
    <w:rsid w:val="53C71634"/>
    <w:rsid w:val="569752EE"/>
    <w:rsid w:val="56B06FAA"/>
    <w:rsid w:val="5A6513EF"/>
    <w:rsid w:val="5C58107B"/>
    <w:rsid w:val="5F8403D9"/>
    <w:rsid w:val="6054424F"/>
    <w:rsid w:val="615F5E74"/>
    <w:rsid w:val="62770CE3"/>
    <w:rsid w:val="63680E86"/>
    <w:rsid w:val="63AD6150"/>
    <w:rsid w:val="646A311D"/>
    <w:rsid w:val="64D265C7"/>
    <w:rsid w:val="651144BD"/>
    <w:rsid w:val="65CE23AE"/>
    <w:rsid w:val="65D8322D"/>
    <w:rsid w:val="660A290C"/>
    <w:rsid w:val="662B1179"/>
    <w:rsid w:val="669408BF"/>
    <w:rsid w:val="66F2031E"/>
    <w:rsid w:val="6B9145AA"/>
    <w:rsid w:val="6BA82A0E"/>
    <w:rsid w:val="717C3606"/>
    <w:rsid w:val="71F30C29"/>
    <w:rsid w:val="75E5336E"/>
    <w:rsid w:val="76FE31D8"/>
    <w:rsid w:val="78465633"/>
    <w:rsid w:val="7B944008"/>
    <w:rsid w:val="7EC8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numPr>
        <w:ilvl w:val="0"/>
        <w:numId w:val="1"/>
      </w:numPr>
      <w:spacing w:line="360" w:lineRule="auto"/>
      <w:jc w:val="left"/>
      <w:outlineLvl w:val="0"/>
    </w:pPr>
    <w:rPr>
      <w:rFonts w:eastAsia="宋体"/>
      <w:kern w:val="44"/>
      <w:sz w:val="28"/>
    </w:rPr>
  </w:style>
  <w:style w:type="paragraph" w:styleId="3">
    <w:name w:val="heading 2"/>
    <w:basedOn w:val="1"/>
    <w:next w:val="1"/>
    <w:link w:val="18"/>
    <w:unhideWhenUsed/>
    <w:qFormat/>
    <w:uiPriority w:val="0"/>
    <w:pPr>
      <w:keepNext/>
      <w:keepLines/>
      <w:numPr>
        <w:ilvl w:val="1"/>
        <w:numId w:val="1"/>
      </w:numPr>
      <w:spacing w:line="360" w:lineRule="auto"/>
      <w:ind w:left="0" w:firstLine="0"/>
      <w:jc w:val="left"/>
      <w:outlineLvl w:val="1"/>
    </w:pPr>
    <w:rPr>
      <w:rFonts w:eastAsia="宋体" w:asciiTheme="majorHAnsi" w:hAnsiTheme="majorHAnsi" w:cstheme="majorBidi"/>
      <w:bCs/>
      <w:sz w:val="28"/>
      <w:szCs w:val="32"/>
    </w:rPr>
  </w:style>
  <w:style w:type="paragraph" w:styleId="4">
    <w:name w:val="heading 3"/>
    <w:basedOn w:val="1"/>
    <w:next w:val="1"/>
    <w:link w:val="20"/>
    <w:unhideWhenUsed/>
    <w:qFormat/>
    <w:uiPriority w:val="0"/>
    <w:pPr>
      <w:keepNext/>
      <w:keepLines/>
      <w:numPr>
        <w:ilvl w:val="2"/>
        <w:numId w:val="1"/>
      </w:numPr>
      <w:spacing w:line="360" w:lineRule="auto"/>
      <w:jc w:val="left"/>
      <w:outlineLvl w:val="2"/>
    </w:pPr>
    <w:rPr>
      <w:rFonts w:eastAsia="宋体"/>
      <w:sz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te Heading"/>
    <w:basedOn w:val="1"/>
    <w:next w:val="1"/>
    <w:qFormat/>
    <w:uiPriority w:val="0"/>
    <w:pPr>
      <w:spacing w:line="360" w:lineRule="auto"/>
      <w:jc w:val="center"/>
    </w:pPr>
  </w:style>
  <w:style w:type="paragraph" w:styleId="6">
    <w:name w:val="caption"/>
    <w:basedOn w:val="1"/>
    <w:next w:val="1"/>
    <w:semiHidden/>
    <w:unhideWhenUsed/>
    <w:qFormat/>
    <w:uiPriority w:val="0"/>
    <w:pPr>
      <w:jc w:val="center"/>
    </w:pPr>
    <w:rPr>
      <w:rFonts w:ascii="Arial" w:hAnsi="Arial" w:eastAsia="黑体"/>
      <w:sz w:val="20"/>
    </w:rPr>
  </w:style>
  <w:style w:type="paragraph" w:styleId="7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:szCs w:val="22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toc 2"/>
    <w:basedOn w:val="1"/>
    <w:next w:val="1"/>
    <w:qFormat/>
    <w:uiPriority w:val="39"/>
    <w:pPr>
      <w:ind w:left="420" w:leftChars="200"/>
    </w:pPr>
    <w:rPr>
      <w:rFonts w:eastAsia="宋体"/>
    </w:rPr>
  </w:style>
  <w:style w:type="paragraph" w:styleId="1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customStyle="1" w:styleId="15">
    <w:name w:val="目录模板"/>
    <w:next w:val="10"/>
    <w:qFormat/>
    <w:uiPriority w:val="0"/>
    <w:pPr>
      <w:keepNext/>
      <w:keepLines/>
      <w:spacing w:before="260" w:after="260"/>
      <w:outlineLvl w:val="1"/>
    </w:pPr>
    <w:rPr>
      <w:rFonts w:asciiTheme="majorHAnsi" w:hAnsiTheme="majorHAnsi" w:eastAsiaTheme="majorEastAsia" w:cstheme="majorBidi"/>
      <w:bCs/>
      <w:sz w:val="21"/>
      <w:szCs w:val="32"/>
      <w:lang w:val="en-US" w:eastAsia="zh-CN" w:bidi="ar-SA"/>
    </w:rPr>
  </w:style>
  <w:style w:type="paragraph" w:customStyle="1" w:styleId="16">
    <w:name w:val="目录（模板样式）"/>
    <w:basedOn w:val="1"/>
    <w:next w:val="1"/>
    <w:qFormat/>
    <w:uiPriority w:val="0"/>
    <w:pPr>
      <w:tabs>
        <w:tab w:val="left" w:pos="420"/>
        <w:tab w:val="right" w:leader="dot" w:pos="8296"/>
      </w:tabs>
    </w:pPr>
    <w:rPr>
      <w:rFonts w:eastAsia="宋体"/>
    </w:rPr>
  </w:style>
  <w:style w:type="character" w:customStyle="1" w:styleId="17">
    <w:name w:val="标题 1 字符"/>
    <w:link w:val="2"/>
    <w:qFormat/>
    <w:uiPriority w:val="0"/>
    <w:rPr>
      <w:rFonts w:eastAsia="宋体" w:asciiTheme="minorHAnsi" w:hAnsiTheme="minorHAnsi" w:cstheme="minorBidi"/>
      <w:kern w:val="44"/>
      <w:sz w:val="28"/>
      <w:szCs w:val="24"/>
    </w:rPr>
  </w:style>
  <w:style w:type="character" w:customStyle="1" w:styleId="18">
    <w:name w:val="标题 2 字符"/>
    <w:link w:val="3"/>
    <w:qFormat/>
    <w:uiPriority w:val="9"/>
    <w:rPr>
      <w:rFonts w:eastAsia="宋体" w:asciiTheme="majorHAnsi" w:hAnsiTheme="majorHAnsi" w:cstheme="majorBidi"/>
      <w:bCs/>
      <w:kern w:val="2"/>
      <w:sz w:val="28"/>
      <w:szCs w:val="32"/>
    </w:rPr>
  </w:style>
  <w:style w:type="paragraph" w:customStyle="1" w:styleId="19">
    <w:name w:val="文本模板"/>
    <w:basedOn w:val="1"/>
    <w:next w:val="1"/>
    <w:qFormat/>
    <w:uiPriority w:val="0"/>
    <w:pPr>
      <w:adjustRightInd w:val="0"/>
      <w:spacing w:line="360" w:lineRule="auto"/>
      <w:ind w:firstLine="480" w:firstLineChars="200"/>
      <w:jc w:val="left"/>
    </w:pPr>
    <w:rPr>
      <w:rFonts w:ascii="宋体" w:hAnsi="宋体" w:eastAsia="宋体" w:cs="Times New Roman"/>
      <w:sz w:val="24"/>
      <w:szCs w:val="28"/>
    </w:rPr>
  </w:style>
  <w:style w:type="character" w:customStyle="1" w:styleId="20">
    <w:name w:val="标题 3 字符"/>
    <w:link w:val="4"/>
    <w:qFormat/>
    <w:uiPriority w:val="0"/>
    <w:rPr>
      <w:rFonts w:eastAsia="宋体" w:asciiTheme="minorHAnsi" w:hAnsiTheme="minorHAnsi" w:cstheme="minorBidi"/>
      <w:kern w:val="2"/>
      <w:sz w:val="28"/>
      <w:szCs w:val="24"/>
    </w:rPr>
  </w:style>
  <w:style w:type="paragraph" w:customStyle="1" w:styleId="21">
    <w:name w:val="模板目录使用之最"/>
    <w:basedOn w:val="1"/>
    <w:next w:val="1"/>
    <w:qFormat/>
    <w:uiPriority w:val="0"/>
    <w:pPr>
      <w:tabs>
        <w:tab w:val="right" w:leader="dot" w:pos="8306"/>
      </w:tabs>
    </w:pPr>
    <w:rPr>
      <w:rFonts w:eastAsia="宋体"/>
      <w:szCs w:val="20"/>
    </w:rPr>
  </w:style>
  <w:style w:type="character" w:customStyle="1" w:styleId="22">
    <w:name w:val="页眉 字符"/>
    <w:basedOn w:val="14"/>
    <w:link w:val="9"/>
    <w:qFormat/>
    <w:uiPriority w:val="0"/>
    <w:rPr>
      <w:rFonts w:asciiTheme="minorHAnsi" w:hAnsiTheme="minorHAnsi" w:eastAsiaTheme="minorEastAsia"/>
      <w:kern w:val="2"/>
      <w:sz w:val="18"/>
      <w:szCs w:val="18"/>
    </w:rPr>
  </w:style>
  <w:style w:type="paragraph" w:customStyle="1" w:styleId="23">
    <w:name w:val="TOC 标题1"/>
    <w:basedOn w:val="2"/>
    <w:next w:val="1"/>
    <w:unhideWhenUsed/>
    <w:qFormat/>
    <w:uiPriority w:val="39"/>
    <w:pPr>
      <w:widowControl/>
      <w:numPr>
        <w:numId w:val="0"/>
      </w:numPr>
      <w:spacing w:before="240" w:line="259" w:lineRule="auto"/>
      <w:outlineLvl w:val="9"/>
    </w:pPr>
    <w:rPr>
      <w:rFonts w:asciiTheme="majorHAnsi" w:hAnsiTheme="majorHAnsi" w:eastAsiaTheme="majorEastAsia" w:cstheme="majorBidi"/>
      <w:b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customXml" Target="../customXml/item1.xml"/><Relationship Id="rId30" Type="http://schemas.openxmlformats.org/officeDocument/2006/relationships/image" Target="media/image20.pn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2430</Words>
  <Characters>2581</Characters>
  <Lines>21</Lines>
  <Paragraphs>6</Paragraphs>
  <TotalTime>1</TotalTime>
  <ScaleCrop>false</ScaleCrop>
  <LinksUpToDate>false</LinksUpToDate>
  <CharactersWithSpaces>3113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2023-01-16T00:57:00Z</dcterms:created>
  <dc:creator>毒雾</dc:creator>
  <cp:lastModifiedBy>Bellen</cp:lastModifiedBy>
  <dcterms:modified xsi:type="dcterms:W3CDTF">2023-02-06T12:11:11Z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684E54A00D094ADFA0E7B93D05B34DBB</vt:lpwstr>
  </property>
</Properties>
</file>