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93284">
      <w:pPr>
        <w:rPr>
          <w:rFonts w:hint="eastAsia"/>
        </w:rPr>
      </w:pPr>
      <w:bookmarkStart w:id="0" w:name="_Toc16672531"/>
    </w:p>
    <w:p w14:paraId="6563E078">
      <w:pPr>
        <w:rPr>
          <w:rFonts w:hint="eastAsia"/>
        </w:rPr>
      </w:pPr>
    </w:p>
    <w:p w14:paraId="43A758CD">
      <w:pPr>
        <w:ind w:firstLine="881"/>
        <w:jc w:val="center"/>
        <w:rPr>
          <w:rFonts w:hint="eastAsia" w:ascii="华文宋体" w:hAnsi="华文宋体"/>
          <w:b/>
          <w:bCs/>
          <w:sz w:val="44"/>
          <w:szCs w:val="44"/>
        </w:rPr>
      </w:pPr>
    </w:p>
    <w:p w14:paraId="060677F5">
      <w:pPr>
        <w:jc w:val="center"/>
        <w:rPr>
          <w:rFonts w:hint="default" w:ascii="黑体" w:hAnsi="黑体" w:eastAsia="黑体" w:cs="黑体"/>
          <w:b/>
          <w:sz w:val="52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sz w:val="52"/>
          <w:szCs w:val="44"/>
          <w:highlight w:val="none"/>
          <w:lang w:val="en-US" w:eastAsia="zh-CN"/>
        </w:rPr>
        <w:t>哈电集团采购招标平台</w:t>
      </w:r>
    </w:p>
    <w:p w14:paraId="4134B06B">
      <w:pPr>
        <w:ind w:firstLine="881"/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</w:p>
    <w:p w14:paraId="1D60DE7A">
      <w:pPr>
        <w:jc w:val="center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信息技术服务费操作手册</w:t>
      </w:r>
    </w:p>
    <w:p w14:paraId="2843AD7D">
      <w:pPr>
        <w:rPr>
          <w:rFonts w:hint="eastAsia"/>
        </w:rPr>
      </w:pPr>
    </w:p>
    <w:p w14:paraId="47634C9B">
      <w:pPr>
        <w:rPr>
          <w:rFonts w:hint="eastAsia"/>
        </w:rPr>
      </w:pPr>
    </w:p>
    <w:p w14:paraId="477EB8FD">
      <w:pPr>
        <w:rPr>
          <w:rFonts w:hint="eastAsia"/>
        </w:rPr>
      </w:pPr>
    </w:p>
    <w:p w14:paraId="638BA437">
      <w:pPr>
        <w:rPr>
          <w:rFonts w:hint="eastAsia"/>
        </w:rPr>
      </w:pPr>
    </w:p>
    <w:p w14:paraId="7F27B7CE">
      <w:pPr>
        <w:rPr>
          <w:rFonts w:hint="eastAsia"/>
        </w:rPr>
      </w:pPr>
    </w:p>
    <w:p w14:paraId="31C35445">
      <w:pPr>
        <w:rPr>
          <w:rFonts w:hint="eastAsia"/>
        </w:rPr>
      </w:pPr>
    </w:p>
    <w:p w14:paraId="2D84AD6A">
      <w:pPr>
        <w:rPr>
          <w:rFonts w:hint="eastAsia"/>
        </w:rPr>
      </w:pPr>
    </w:p>
    <w:p w14:paraId="55FD86E2">
      <w:pPr>
        <w:rPr>
          <w:rFonts w:hint="eastAsia"/>
        </w:rPr>
      </w:pPr>
    </w:p>
    <w:p w14:paraId="7A2C81F6">
      <w:pPr>
        <w:rPr>
          <w:rFonts w:hint="eastAsia"/>
        </w:rPr>
      </w:pPr>
    </w:p>
    <w:p w14:paraId="1882AFDC">
      <w:pPr>
        <w:rPr>
          <w:rFonts w:hint="eastAsia"/>
        </w:rPr>
      </w:pPr>
    </w:p>
    <w:p w14:paraId="68A13734">
      <w:pPr>
        <w:rPr>
          <w:rFonts w:hint="eastAsia"/>
        </w:rPr>
      </w:pPr>
    </w:p>
    <w:p w14:paraId="0BCFAD25">
      <w:pPr>
        <w:rPr>
          <w:rFonts w:hint="eastAsia"/>
        </w:rPr>
      </w:pPr>
    </w:p>
    <w:p w14:paraId="39322375">
      <w:pPr>
        <w:rPr>
          <w:rFonts w:hint="eastAsia"/>
        </w:rPr>
      </w:pPr>
    </w:p>
    <w:p w14:paraId="53871020">
      <w:pPr>
        <w:ind w:firstLine="881"/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2</w:t>
      </w:r>
      <w:r>
        <w:rPr>
          <w:rFonts w:ascii="黑体" w:hAnsi="黑体" w:eastAsia="黑体" w:cs="黑体"/>
          <w:b/>
          <w:bCs/>
          <w:sz w:val="44"/>
          <w:szCs w:val="44"/>
        </w:rPr>
        <w:t>02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5年</w:t>
      </w:r>
      <w:r>
        <w:rPr>
          <w:rFonts w:ascii="黑体" w:hAnsi="黑体" w:eastAsia="黑体" w:cs="黑体"/>
          <w:b/>
          <w:bCs/>
          <w:sz w:val="44"/>
          <w:szCs w:val="44"/>
        </w:rPr>
        <w:t>1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1月</w:t>
      </w:r>
    </w:p>
    <w:p w14:paraId="7F82868B">
      <w:pPr>
        <w:rPr>
          <w:rFonts w:hint="eastAsia"/>
        </w:rPr>
      </w:pPr>
    </w:p>
    <w:p w14:paraId="4D708A6A">
      <w:pPr>
        <w:rPr>
          <w:rFonts w:hint="eastAsia"/>
        </w:rPr>
      </w:pPr>
    </w:p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2"/>
          <w:lang w:val="zh-CN"/>
        </w:rPr>
        <w:id w:val="-146672556"/>
        <w:docPartObj>
          <w:docPartGallery w:val="Table of Contents"/>
          <w:docPartUnique/>
        </w:docPartObj>
      </w:sdtPr>
      <w:sdtEndPr>
        <w:rPr>
          <w:rFonts w:eastAsia="华文宋体" w:asciiTheme="minorHAnsi" w:hAnsiTheme="minorHAnsi" w:cstheme="minorBidi"/>
          <w:color w:val="auto"/>
          <w:kern w:val="2"/>
          <w:sz w:val="28"/>
          <w:szCs w:val="22"/>
          <w:lang w:val="zh-CN"/>
        </w:rPr>
      </w:sdtEndPr>
      <w:sdtContent>
        <w:p w14:paraId="717AF187">
          <w:pPr>
            <w:pStyle w:val="22"/>
            <w:rPr>
              <w:rFonts w:hint="eastAsia"/>
              <w:lang w:val="zh-CN"/>
            </w:rPr>
          </w:pPr>
          <w:r>
            <w:rPr>
              <w:lang w:val="zh-CN"/>
            </w:rPr>
            <w:t>目录</w:t>
          </w:r>
        </w:p>
        <w:p w14:paraId="1490ACE6">
          <w:pPr>
            <w:rPr>
              <w:rFonts w:hint="eastAsia"/>
              <w:lang w:val="zh-CN"/>
            </w:rPr>
          </w:pPr>
        </w:p>
        <w:p w14:paraId="0D45B9EA">
          <w:pPr>
            <w:pStyle w:val="9"/>
            <w:rPr>
              <w:rFonts w:hint="eastAsia"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TOC \o "1-3" \h \z \u </w:instrText>
          </w:r>
          <w:r>
            <w:rPr>
              <w:rFonts w:hint="eastAsia"/>
            </w:rPr>
            <w:fldChar w:fldCharType="separate"/>
          </w:r>
          <w:r>
            <w:fldChar w:fldCharType="begin"/>
          </w:r>
          <w:r>
            <w:instrText xml:space="preserve"> HYPERLINK \l "_Toc113630935" </w:instrText>
          </w:r>
          <w:r>
            <w:fldChar w:fldCharType="separate"/>
          </w:r>
          <w:r>
            <w:rPr>
              <w:rStyle w:val="15"/>
              <w:rFonts w:hint="eastAsia" w:ascii="宋体" w:hAnsi="宋体" w:eastAsia="宋体" w:cs="宋体"/>
              <w:sz w:val="24"/>
              <w:szCs w:val="28"/>
            </w:rPr>
            <w:t>一、交易平台使用要求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PAGEREF _Toc113630935 \h </w:instrText>
          </w:r>
          <w:r>
            <w:rPr>
              <w:rFonts w:hint="eastAsia"/>
            </w:rPr>
            <w:fldChar w:fldCharType="separate"/>
          </w:r>
          <w:r>
            <w:t>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6FA0EFD">
          <w:pPr>
            <w:pStyle w:val="9"/>
            <w:rPr>
              <w:rFonts w:hint="eastAsia"/>
            </w:rPr>
          </w:pPr>
          <w:r>
            <w:fldChar w:fldCharType="begin"/>
          </w:r>
          <w:r>
            <w:instrText xml:space="preserve"> HYPERLINK \l "_Toc113630936" </w:instrText>
          </w:r>
          <w:r>
            <w:fldChar w:fldCharType="separate"/>
          </w:r>
          <w:r>
            <w:rPr>
              <w:rStyle w:val="15"/>
              <w:rFonts w:hint="eastAsia" w:ascii="宋体" w:hAnsi="宋体" w:eastAsia="宋体" w:cs="宋体"/>
              <w:sz w:val="24"/>
              <w:szCs w:val="28"/>
            </w:rPr>
            <w:t>二、供应商-购买信息技术服务费操作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PAGEREF _Toc113630936 \h </w:instrText>
          </w:r>
          <w:r>
            <w:rPr>
              <w:rFonts w:hint="eastAsia"/>
            </w:rPr>
            <w:fldChar w:fldCharType="separate"/>
          </w:r>
          <w:r>
            <w:t>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21DD69B">
          <w:pPr>
            <w:pStyle w:val="9"/>
            <w:rPr>
              <w:rFonts w:hint="eastAsia"/>
            </w:rPr>
          </w:pPr>
          <w:r>
            <w:fldChar w:fldCharType="begin"/>
          </w:r>
          <w:r>
            <w:instrText xml:space="preserve"> HYPERLINK \l "_Toc113630937" </w:instrText>
          </w:r>
          <w:r>
            <w:fldChar w:fldCharType="separate"/>
          </w:r>
          <w:r>
            <w:rPr>
              <w:rStyle w:val="15"/>
              <w:rFonts w:hint="eastAsia" w:ascii="宋体" w:hAnsi="宋体" w:eastAsia="宋体" w:cs="宋体"/>
              <w:sz w:val="24"/>
              <w:szCs w:val="28"/>
            </w:rPr>
            <w:t>三、技术支持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PAGEREF _Toc113630937 \h </w:instrText>
          </w:r>
          <w:r>
            <w:rPr>
              <w:rFonts w:hint="eastAsia"/>
            </w:rPr>
            <w:fldChar w:fldCharType="separate"/>
          </w:r>
          <w:r>
            <w:t>13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DBEB1DA">
          <w:pPr>
            <w:rPr>
              <w:rFonts w:hint="eastAsia"/>
            </w:rPr>
          </w:pPr>
          <w:r>
            <w:rPr>
              <w:rFonts w:hint="eastAsia" w:ascii="宋体" w:hAnsi="宋体" w:eastAsia="宋体" w:cs="宋体"/>
              <w:sz w:val="24"/>
              <w:szCs w:val="28"/>
              <w:lang w:val="zh-CN"/>
            </w:rPr>
            <w:fldChar w:fldCharType="end"/>
          </w:r>
        </w:p>
      </w:sdtContent>
    </w:sdt>
    <w:p w14:paraId="27B9E538">
      <w:pPr>
        <w:rPr>
          <w:rFonts w:hint="eastAsia"/>
        </w:rPr>
      </w:pPr>
    </w:p>
    <w:p w14:paraId="219B6AD7">
      <w:pPr>
        <w:rPr>
          <w:rFonts w:hint="eastAsia"/>
        </w:rPr>
      </w:pPr>
    </w:p>
    <w:p w14:paraId="625E773F">
      <w:pPr>
        <w:rPr>
          <w:rFonts w:hint="eastAsia"/>
        </w:rPr>
      </w:pPr>
    </w:p>
    <w:p w14:paraId="5D118E1E">
      <w:pPr>
        <w:rPr>
          <w:rFonts w:hint="eastAsia"/>
        </w:rPr>
      </w:pPr>
    </w:p>
    <w:p w14:paraId="0585F3C3">
      <w:pPr>
        <w:rPr>
          <w:rFonts w:hint="eastAsia"/>
        </w:rPr>
      </w:pPr>
    </w:p>
    <w:p w14:paraId="7EE531AA">
      <w:pPr>
        <w:rPr>
          <w:rFonts w:hint="eastAsia"/>
        </w:rPr>
      </w:pPr>
    </w:p>
    <w:p w14:paraId="39AF3EF2">
      <w:pPr>
        <w:rPr>
          <w:rFonts w:hint="eastAsia"/>
        </w:rPr>
      </w:pPr>
    </w:p>
    <w:p w14:paraId="130E8AE1">
      <w:pPr>
        <w:rPr>
          <w:rFonts w:hint="eastAsia"/>
        </w:rPr>
      </w:pPr>
    </w:p>
    <w:p w14:paraId="2FF29FB9">
      <w:pPr>
        <w:rPr>
          <w:rFonts w:hint="eastAsia"/>
        </w:rPr>
      </w:pPr>
    </w:p>
    <w:p w14:paraId="09E648B6">
      <w:pPr>
        <w:rPr>
          <w:rFonts w:hint="eastAsia"/>
        </w:rPr>
      </w:pPr>
    </w:p>
    <w:p w14:paraId="6280330D">
      <w:pPr>
        <w:rPr>
          <w:rFonts w:hint="eastAsia"/>
        </w:rPr>
      </w:pPr>
    </w:p>
    <w:p w14:paraId="6B3357C1">
      <w:pPr>
        <w:rPr>
          <w:rFonts w:hint="eastAsia"/>
        </w:rPr>
      </w:pPr>
    </w:p>
    <w:p w14:paraId="2BBA85BE">
      <w:pPr>
        <w:rPr>
          <w:rFonts w:hint="eastAsia"/>
        </w:rPr>
      </w:pPr>
    </w:p>
    <w:p w14:paraId="2DA9A2F7">
      <w:pPr>
        <w:rPr>
          <w:rFonts w:hint="eastAsia"/>
        </w:rPr>
      </w:pPr>
    </w:p>
    <w:p w14:paraId="5FDDA882">
      <w:pPr>
        <w:rPr>
          <w:rFonts w:hint="eastAsia"/>
        </w:rPr>
      </w:pPr>
    </w:p>
    <w:p w14:paraId="559667B4">
      <w:pPr>
        <w:rPr>
          <w:rFonts w:hint="eastAsia"/>
        </w:rPr>
      </w:pPr>
    </w:p>
    <w:p w14:paraId="0615547D">
      <w:pPr>
        <w:pStyle w:val="2"/>
        <w:rPr>
          <w:rFonts w:hint="eastAsia"/>
        </w:rPr>
      </w:pPr>
      <w:bookmarkStart w:id="1" w:name="_Toc113630935"/>
      <w:r>
        <w:rPr>
          <w:rFonts w:hint="eastAsia"/>
        </w:rPr>
        <w:t>一、交易平台使用要求</w:t>
      </w:r>
      <w:bookmarkEnd w:id="0"/>
      <w:bookmarkEnd w:id="1"/>
    </w:p>
    <w:p w14:paraId="7B56E8B1">
      <w:pPr>
        <w:rPr>
          <w:rFonts w:hint="eastAsia"/>
        </w:rPr>
      </w:pPr>
      <w:r>
        <w:rPr>
          <w:rFonts w:hint="eastAsia"/>
        </w:rPr>
        <w:t>（一）电脑环境：建议使用WIN7及以上版本系统；office 2010（激活版）及以上版本；</w:t>
      </w:r>
    </w:p>
    <w:p w14:paraId="5029D1B9">
      <w:pPr>
        <w:rPr>
          <w:rFonts w:hint="eastAsia"/>
        </w:rPr>
      </w:pPr>
      <w:r>
        <w:rPr>
          <w:rFonts w:hint="eastAsia"/>
        </w:rPr>
        <w:t>（二）运行本平台时，必须连接 Internet 之后进行操作；</w:t>
      </w:r>
    </w:p>
    <w:p w14:paraId="6F5F971F">
      <w:pPr>
        <w:rPr>
          <w:rFonts w:hint="eastAsia"/>
        </w:rPr>
      </w:pPr>
      <w:r>
        <w:rPr>
          <w:rFonts w:hint="eastAsia"/>
        </w:rPr>
        <w:t>（三）浏览器：建议使用edge浏览器；</w:t>
      </w:r>
    </w:p>
    <w:p w14:paraId="41357633">
      <w:pPr>
        <w:rPr>
          <w:rFonts w:hint="eastAsia"/>
        </w:rPr>
      </w:pPr>
      <w:r>
        <w:rPr>
          <w:rFonts w:hint="eastAsia"/>
        </w:rPr>
        <w:t>（四）请仔细阅读本操作手册，并结合自身情况缴纳次费或年费，否则可能影响您的正常投标/报价。</w:t>
      </w:r>
    </w:p>
    <w:p w14:paraId="3B0458C5">
      <w:pPr>
        <w:pStyle w:val="2"/>
        <w:rPr>
          <w:rFonts w:hint="eastAsia"/>
        </w:rPr>
      </w:pPr>
      <w:bookmarkStart w:id="2" w:name="_Toc113630936"/>
      <w:r>
        <w:rPr>
          <w:rFonts w:hint="eastAsia"/>
        </w:rPr>
        <w:t>二、购买信息技术服务费操作</w:t>
      </w:r>
      <w:bookmarkEnd w:id="2"/>
      <w:r>
        <w:rPr>
          <w:rFonts w:hint="eastAsia"/>
        </w:rPr>
        <w:t>指引</w:t>
      </w:r>
    </w:p>
    <w:p w14:paraId="30CE5A07">
      <w:pPr>
        <w:pStyle w:val="4"/>
        <w:rPr>
          <w:rFonts w:hint="eastAsia"/>
        </w:rPr>
      </w:pPr>
      <w:r>
        <w:rPr>
          <w:rFonts w:hint="eastAsia"/>
        </w:rPr>
        <w:t>提前购买信息技术服务费</w:t>
      </w:r>
    </w:p>
    <w:p w14:paraId="40561325">
      <w:pPr>
        <w:pStyle w:val="25"/>
        <w:rPr>
          <w:rFonts w:hint="eastAsia"/>
          <w:lang w:val="en-US" w:eastAsia="zh-CN"/>
        </w:rPr>
      </w:pPr>
      <w:r>
        <w:rPr>
          <w:rFonts w:hint="eastAsia"/>
        </w:rPr>
        <w:t>点击左侧导航栏【信息技术服务费】下的【购买信息技术服务费】进入项目列表页面，选择信息技术服务费年费或次费点击【购买】按钮进入信息技术服务费购买页面。</w:t>
      </w:r>
    </w:p>
    <w:p w14:paraId="005EC00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/>
        <w:textAlignment w:val="auto"/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次费购买选择：</w:t>
      </w:r>
    </w:p>
    <w:p w14:paraId="63F9F23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/>
        <w:textAlignment w:val="auto"/>
        <w:rPr>
          <w:rFonts w:hint="eastAsia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若参与公开招标项目：可选序号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3</w:t>
      </w: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（采购类型 “公开招标”）的次费（400元/次）。</w:t>
      </w:r>
    </w:p>
    <w:p w14:paraId="4D98FAF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/>
        <w:textAlignment w:val="auto"/>
        <w:rPr>
          <w:rFonts w:hint="eastAsia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若参与自主项目：需选序号1（“谈判采购”）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、</w:t>
      </w: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序号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3</w:t>
      </w: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（“面向供应商公开招标”）的次费（400元/次）。</w:t>
      </w:r>
    </w:p>
    <w:p w14:paraId="53B0086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/>
        <w:textAlignment w:val="auto"/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注：按次数购买面向供应商公开招标、谈判采购的信息技术服务互相通用购买其中任一即可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。</w:t>
      </w:r>
    </w:p>
    <w:p w14:paraId="6B244AA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/>
        <w:textAlignment w:val="auto"/>
        <w:rPr>
          <w:rFonts w:hint="eastAsia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eastAsia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按次数购买公开招标的信息技术服务仅供公开招标使用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。</w:t>
      </w:r>
    </w:p>
    <w:p w14:paraId="10BBBB5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/>
        <w:textAlignment w:val="auto"/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年费购买选择：</w:t>
      </w:r>
    </w:p>
    <w:p w14:paraId="07C1E69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/>
        <w:textAlignment w:val="auto"/>
        <w:rPr>
          <w:rFonts w:hint="eastAsia" w:eastAsia="华文宋体" w:asciiTheme="minorHAnsi" w:hAnsiTheme="minorHAnsi" w:cstheme="minorBidi"/>
          <w:color w:val="FF0000"/>
          <w:kern w:val="2"/>
          <w:sz w:val="28"/>
          <w:szCs w:val="22"/>
          <w:highlight w:val="none"/>
          <w:lang w:val="en-US" w:eastAsia="zh-CN" w:bidi="ar-SA"/>
        </w:rPr>
      </w:pP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若需通用所有项目（公开招标/邀请招标 /自主采购）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或者每年投标项目比较多</w:t>
      </w: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，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可</w:t>
      </w: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选序号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1</w:t>
      </w: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的年费（4000元</w:t>
      </w:r>
      <w:bookmarkStart w:id="6" w:name="_GoBack"/>
      <w:bookmarkEnd w:id="6"/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/年），</w:t>
      </w:r>
      <w:r>
        <w:rPr>
          <w:rFonts w:hint="eastAsia" w:cstheme="minorBidi"/>
          <w:kern w:val="2"/>
          <w:sz w:val="28"/>
          <w:szCs w:val="22"/>
          <w:lang w:val="en-US" w:eastAsia="zh-CN" w:bidi="ar-SA"/>
        </w:rPr>
        <w:t>年费不</w:t>
      </w:r>
      <w:r>
        <w:rPr>
          <w:rFonts w:hint="default" w:eastAsia="华文宋体" w:asciiTheme="minorHAnsi" w:hAnsiTheme="minorHAnsi" w:cstheme="minorBidi"/>
          <w:kern w:val="2"/>
          <w:sz w:val="28"/>
          <w:szCs w:val="22"/>
          <w:lang w:val="en-US" w:eastAsia="zh-CN" w:bidi="ar-SA"/>
        </w:rPr>
        <w:t>区分采购类型。</w:t>
      </w:r>
    </w:p>
    <w:p w14:paraId="50976FB4">
      <w:pPr>
        <w:rPr>
          <w:rFonts w:hint="eastAsia" w:eastAsia="华文宋体"/>
          <w:lang w:eastAsia="zh-CN"/>
        </w:rPr>
      </w:pPr>
      <w:r>
        <w:drawing>
          <wp:inline distT="0" distB="0" distL="114300" distR="114300">
            <wp:extent cx="5261610" cy="1984375"/>
            <wp:effectExtent l="0" t="0" r="8890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9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527BA">
      <w:pPr>
        <w:pStyle w:val="25"/>
        <w:rPr>
          <w:rFonts w:hint="eastAsia"/>
        </w:rPr>
      </w:pPr>
      <w:r>
        <w:rPr>
          <w:rFonts w:hint="eastAsia"/>
        </w:rPr>
        <w:t>进入信息技术服务费购买详情界面，勾选用户协议，点击【支付】按钮进入信息技术服务费支付界面，如购买次费可以输入1次或多次；也可点击【查看收费标准】查看平台的收费标准；</w:t>
      </w:r>
    </w:p>
    <w:p w14:paraId="46F1F485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334895"/>
            <wp:effectExtent l="0" t="0" r="2540" b="8255"/>
            <wp:docPr id="3327942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794270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E6603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098675"/>
            <wp:effectExtent l="0" t="0" r="2540" b="0"/>
            <wp:docPr id="16548699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86999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C56CF">
      <w:pPr>
        <w:pStyle w:val="25"/>
        <w:rPr>
          <w:rFonts w:hint="eastAsia"/>
        </w:rPr>
      </w:pPr>
      <w:r>
        <w:rPr>
          <w:rFonts w:hint="eastAsia"/>
        </w:rPr>
        <w:t>进入支付界面，选择支付方式；</w:t>
      </w:r>
    </w:p>
    <w:p w14:paraId="26FB153F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055495"/>
            <wp:effectExtent l="0" t="0" r="2540" b="1905"/>
            <wp:docPr id="9707561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756125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AE7C2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050415"/>
            <wp:effectExtent l="0" t="0" r="2540" b="6985"/>
            <wp:docPr id="4180490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049029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9B718">
      <w:pPr>
        <w:pStyle w:val="25"/>
        <w:rPr>
          <w:rFonts w:hint="eastAsia"/>
        </w:rPr>
      </w:pPr>
      <w:r>
        <w:rPr>
          <w:rFonts w:hint="eastAsia"/>
        </w:rPr>
        <w:t>进入支付界面，手机扫码支付；</w:t>
      </w:r>
      <w:r>
        <w:t xml:space="preserve"> </w:t>
      </w:r>
    </w:p>
    <w:p w14:paraId="580207B5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473325"/>
            <wp:effectExtent l="0" t="0" r="2540" b="3175"/>
            <wp:docPr id="1898365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3658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E8B7C">
      <w:pPr>
        <w:pStyle w:val="25"/>
        <w:rPr>
          <w:rFonts w:hint="eastAsia"/>
        </w:rPr>
      </w:pPr>
      <w:r>
        <w:rPr>
          <w:rFonts w:hint="eastAsia"/>
        </w:rPr>
        <w:t>支付成功，可在【购买信息技术服务费】菜单下点击查看购买记录，并可点击【详情】进入查看有效期和剩余次数。</w:t>
      </w:r>
    </w:p>
    <w:p w14:paraId="3A6A00FE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372995"/>
            <wp:effectExtent l="0" t="0" r="2540" b="8255"/>
            <wp:docPr id="10453038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303829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4EE29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089785"/>
            <wp:effectExtent l="0" t="0" r="2540" b="5715"/>
            <wp:docPr id="35577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7773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1653A">
      <w:pPr>
        <w:pStyle w:val="4"/>
        <w:rPr>
          <w:rFonts w:hint="eastAsia"/>
        </w:rPr>
      </w:pPr>
      <w:r>
        <w:rPr>
          <w:rFonts w:hint="eastAsia"/>
        </w:rPr>
        <w:t>参与项目时购买信息技术服务费</w:t>
      </w:r>
    </w:p>
    <w:p w14:paraId="3B351CBD">
      <w:pPr>
        <w:pStyle w:val="25"/>
        <w:numPr>
          <w:ilvl w:val="0"/>
          <w:numId w:val="6"/>
        </w:numPr>
        <w:ind w:firstLineChars="0"/>
        <w:rPr>
          <w:rFonts w:hint="eastAsia"/>
        </w:rPr>
      </w:pPr>
      <w:r>
        <w:rPr>
          <w:rFonts w:hint="eastAsia"/>
        </w:rPr>
        <w:t>下载采购文件</w:t>
      </w:r>
      <w:r>
        <w:t>/</w:t>
      </w:r>
      <w:r>
        <w:rPr>
          <w:rFonts w:hint="eastAsia"/>
        </w:rPr>
        <w:t>招标文件</w:t>
      </w:r>
    </w:p>
    <w:p w14:paraId="7F9C611D">
      <w:pPr>
        <w:pStyle w:val="21"/>
        <w:rPr>
          <w:rFonts w:hint="eastAsia"/>
        </w:rPr>
      </w:pPr>
      <w:r>
        <w:rPr>
          <w:rFonts w:hint="eastAsia"/>
          <w:b/>
          <w:bCs/>
          <w:color w:val="FF0000"/>
        </w:rPr>
        <w:t>供应商</w:t>
      </w:r>
      <w:r>
        <w:rPr>
          <w:rFonts w:hint="eastAsia"/>
        </w:rPr>
        <w:t>通过菜单【待办事项】参与项目后—同意投标—签收采购文件，在采购文件界面点击【下载】，会提醒需购买信息技术服务费才可报价；</w:t>
      </w:r>
    </w:p>
    <w:p w14:paraId="2D46894D">
      <w:pPr>
        <w:rPr>
          <w:rFonts w:hint="eastAsia"/>
        </w:rPr>
      </w:pPr>
      <w:r>
        <w:drawing>
          <wp:inline distT="0" distB="0" distL="0" distR="0">
            <wp:extent cx="5274310" cy="2355215"/>
            <wp:effectExtent l="0" t="0" r="2540" b="6985"/>
            <wp:docPr id="13470195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019569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E1AE1">
      <w:pPr>
        <w:pStyle w:val="21"/>
        <w:rPr>
          <w:rFonts w:hint="eastAsia"/>
        </w:rPr>
      </w:pPr>
      <w:r>
        <w:rPr>
          <w:rFonts w:hint="eastAsia"/>
          <w:b/>
          <w:bCs/>
          <w:color w:val="FF0000"/>
        </w:rPr>
        <w:t>投标人</w:t>
      </w:r>
      <w:r>
        <w:rPr>
          <w:rFonts w:hint="eastAsia"/>
        </w:rPr>
        <w:t>通过菜单【参与项目】参与项目后—获取招标文件，在获取招标文件界面点击【获取文件】，会提醒需购买信息技术服务费才可报价；</w:t>
      </w:r>
    </w:p>
    <w:p w14:paraId="6629DD49">
      <w:pPr>
        <w:rPr>
          <w:rFonts w:hint="eastAsia"/>
        </w:rPr>
      </w:pPr>
      <w:r>
        <w:drawing>
          <wp:inline distT="0" distB="0" distL="0" distR="0">
            <wp:extent cx="5274310" cy="2318385"/>
            <wp:effectExtent l="0" t="0" r="2540" b="5715"/>
            <wp:docPr id="17749504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950426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B3885">
      <w:pPr>
        <w:rPr>
          <w:rFonts w:hint="eastAsia"/>
        </w:rPr>
      </w:pPr>
    </w:p>
    <w:p w14:paraId="025441F4">
      <w:pPr>
        <w:pStyle w:val="25"/>
        <w:numPr>
          <w:ilvl w:val="0"/>
          <w:numId w:val="6"/>
        </w:numPr>
        <w:ind w:firstLineChars="0"/>
        <w:rPr>
          <w:rFonts w:ascii="Arial" w:hAnsi="Arial" w:cs="Arial"/>
          <w:color w:val="333333"/>
          <w:szCs w:val="20"/>
        </w:rPr>
      </w:pPr>
      <w:bookmarkStart w:id="3" w:name="_Hlk113526635"/>
      <w:r>
        <w:rPr>
          <w:rFonts w:hint="eastAsia"/>
        </w:rPr>
        <w:t>购买信息技术服务费</w:t>
      </w:r>
    </w:p>
    <w:p w14:paraId="7572D606">
      <w:pPr>
        <w:pStyle w:val="21"/>
        <w:rPr>
          <w:rFonts w:hint="eastAsia"/>
        </w:rPr>
      </w:pPr>
      <w:r>
        <w:rPr>
          <w:rFonts w:hint="eastAsia"/>
          <w:color w:val="FF0000"/>
        </w:rPr>
        <w:t>供应商报价时</w:t>
      </w:r>
      <w:r>
        <w:rPr>
          <w:rFonts w:hint="eastAsia"/>
        </w:rPr>
        <w:t>—供应商如未购买信息技术服务-会弹窗提示当前需要购买信息技术服务提示-点击‘</w:t>
      </w:r>
      <w:r>
        <w:rPr>
          <w:rFonts w:hint="eastAsia"/>
          <w:color w:val="FF0000"/>
        </w:rPr>
        <w:t>购买入口</w:t>
      </w:r>
      <w:r>
        <w:rPr>
          <w:rFonts w:hint="eastAsia"/>
        </w:rPr>
        <w:t>’按钮-跳转购买详情展示（根据平台管理员通用设置</w:t>
      </w:r>
      <w:r>
        <w:t>—</w:t>
      </w:r>
      <w:r>
        <w:rPr>
          <w:rFonts w:hint="eastAsia"/>
          <w:color w:val="FF0000"/>
        </w:rPr>
        <w:t>缴纳方式：按时段/按次数</w:t>
      </w:r>
      <w:r>
        <w:rPr>
          <w:rFonts w:hint="eastAsia"/>
        </w:rPr>
        <w:t>）-购买并支付成功-代表购买完成</w:t>
      </w:r>
      <w:bookmarkEnd w:id="3"/>
      <w:r>
        <w:rPr>
          <w:rFonts w:hint="eastAsia"/>
        </w:rPr>
        <w:t>；</w:t>
      </w:r>
    </w:p>
    <w:p w14:paraId="5189A0B6">
      <w:pPr>
        <w:rPr>
          <w:rFonts w:hint="eastAsia"/>
        </w:rPr>
      </w:pPr>
      <w:r>
        <w:drawing>
          <wp:inline distT="0" distB="0" distL="0" distR="0">
            <wp:extent cx="5274310" cy="2353945"/>
            <wp:effectExtent l="0" t="0" r="2540" b="8255"/>
            <wp:docPr id="16825830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58304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752B1">
      <w:pPr>
        <w:rPr>
          <w:rFonts w:hint="eastAsia"/>
        </w:rPr>
      </w:pPr>
      <w:r>
        <w:drawing>
          <wp:inline distT="0" distB="0" distL="0" distR="0">
            <wp:extent cx="5274310" cy="2304415"/>
            <wp:effectExtent l="0" t="0" r="2540" b="635"/>
            <wp:docPr id="16337598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759814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C0B57">
      <w:pPr>
        <w:pStyle w:val="21"/>
        <w:rPr>
          <w:rFonts w:hint="eastAsia"/>
        </w:rPr>
      </w:pPr>
      <w:r>
        <w:rPr>
          <w:rFonts w:hint="eastAsia"/>
          <w:color w:val="FF0000"/>
        </w:rPr>
        <w:t>投标人递交时</w:t>
      </w:r>
      <w:r>
        <w:rPr>
          <w:rFonts w:hint="eastAsia"/>
        </w:rPr>
        <w:t>—投标人如未购买信息技术服务-会弹窗提示当前需要购买信息技术服务提示-点击‘</w:t>
      </w:r>
      <w:r>
        <w:rPr>
          <w:rFonts w:hint="eastAsia"/>
          <w:color w:val="FF0000"/>
        </w:rPr>
        <w:t>购买入口</w:t>
      </w:r>
      <w:r>
        <w:rPr>
          <w:rFonts w:hint="eastAsia"/>
        </w:rPr>
        <w:t>’按钮-跳转购买详情展示（根据平台管理员通用设置</w:t>
      </w:r>
      <w:r>
        <w:t>—</w:t>
      </w:r>
      <w:r>
        <w:rPr>
          <w:rFonts w:hint="eastAsia"/>
          <w:color w:val="FF0000"/>
        </w:rPr>
        <w:t>缴纳方式：按时段/按次数</w:t>
      </w:r>
      <w:r>
        <w:rPr>
          <w:rFonts w:hint="eastAsia"/>
        </w:rPr>
        <w:t>）-购买并支付成功-代表购买完成；</w:t>
      </w:r>
    </w:p>
    <w:p w14:paraId="162C0DE8">
      <w:pPr>
        <w:rPr>
          <w:rFonts w:hint="eastAsia"/>
        </w:rPr>
      </w:pPr>
      <w:r>
        <w:drawing>
          <wp:inline distT="0" distB="0" distL="0" distR="0">
            <wp:extent cx="5274310" cy="2345055"/>
            <wp:effectExtent l="0" t="0" r="2540" b="0"/>
            <wp:docPr id="20474585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458573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E3627">
      <w:pPr>
        <w:ind w:left="440"/>
        <w:rPr>
          <w:rFonts w:hint="eastAsia"/>
        </w:rPr>
      </w:pPr>
      <w:r>
        <w:drawing>
          <wp:inline distT="0" distB="0" distL="0" distR="0">
            <wp:extent cx="5274310" cy="2331085"/>
            <wp:effectExtent l="0" t="0" r="2540" b="0"/>
            <wp:docPr id="11657515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751579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04AD7">
      <w:pPr>
        <w:pStyle w:val="25"/>
        <w:numPr>
          <w:ilvl w:val="0"/>
          <w:numId w:val="6"/>
        </w:numPr>
        <w:ind w:firstLineChars="0"/>
        <w:rPr>
          <w:rFonts w:hint="eastAsia"/>
        </w:rPr>
      </w:pPr>
      <w:r>
        <w:rPr>
          <w:rFonts w:hint="eastAsia"/>
        </w:rPr>
        <w:t>进入信息技术服务费购买详情界面，勾选用户协议，点击【支付】按钮进入信息技术服务费支付界面；也可点击【查看收费标准】查看平台的收费标准；</w:t>
      </w:r>
    </w:p>
    <w:p w14:paraId="7113D752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174875"/>
            <wp:effectExtent l="0" t="0" r="2540" b="0"/>
            <wp:docPr id="18000018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001892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84DFE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226310"/>
            <wp:effectExtent l="0" t="0" r="2540" b="2540"/>
            <wp:docPr id="14688557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855705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4BDA7">
      <w:pPr>
        <w:pStyle w:val="25"/>
        <w:numPr>
          <w:ilvl w:val="0"/>
          <w:numId w:val="6"/>
        </w:numPr>
        <w:ind w:firstLineChars="0"/>
        <w:rPr>
          <w:rFonts w:hint="eastAsia"/>
        </w:rPr>
      </w:pPr>
      <w:r>
        <w:rPr>
          <w:rFonts w:hint="eastAsia"/>
        </w:rPr>
        <w:t>进入支付界面，选择支付方式；</w:t>
      </w:r>
    </w:p>
    <w:p w14:paraId="1EBC61DF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050415"/>
            <wp:effectExtent l="0" t="0" r="2540" b="6985"/>
            <wp:docPr id="18126674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66747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37650">
      <w:pPr>
        <w:pStyle w:val="25"/>
        <w:numPr>
          <w:ilvl w:val="0"/>
          <w:numId w:val="0"/>
        </w:numPr>
        <w:rPr>
          <w:rFonts w:hint="eastAsia"/>
        </w:rPr>
      </w:pPr>
    </w:p>
    <w:p w14:paraId="6BDEADC8">
      <w:pPr>
        <w:pStyle w:val="25"/>
        <w:numPr>
          <w:ilvl w:val="0"/>
          <w:numId w:val="6"/>
        </w:numPr>
        <w:ind w:firstLineChars="0"/>
        <w:rPr>
          <w:rFonts w:hint="eastAsia"/>
        </w:rPr>
      </w:pPr>
      <w:r>
        <w:rPr>
          <w:rFonts w:hint="eastAsia"/>
        </w:rPr>
        <w:t>进入支付界面，手机扫码支付；</w:t>
      </w:r>
      <w:r>
        <w:t xml:space="preserve"> </w:t>
      </w:r>
    </w:p>
    <w:p w14:paraId="58BDBFE0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473325"/>
            <wp:effectExtent l="0" t="0" r="13970" b="10795"/>
            <wp:docPr id="609536657" name="图片 609536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536657" name="图片 609536657"/>
                    <pic:cNvPicPr>
                      <a:picLocks noChangeAspect="1"/>
                    </pic:cNvPicPr>
                  </pic:nvPicPr>
                  <pic:blipFill>
                    <a:blip r:embed="rId22"/>
                    <a:srcRect b="145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6D5B6">
      <w:pPr>
        <w:pStyle w:val="25"/>
        <w:numPr>
          <w:ilvl w:val="0"/>
          <w:numId w:val="6"/>
        </w:numPr>
        <w:ind w:firstLineChars="0"/>
        <w:rPr>
          <w:rFonts w:hint="eastAsia"/>
        </w:rPr>
      </w:pPr>
      <w:r>
        <w:rPr>
          <w:rFonts w:hint="eastAsia"/>
        </w:rPr>
        <w:t>支付成功，可在【购买信息技术服务费】菜单下点击购买记录，并可点击【详情】进入查看有效期和剩余次数。</w:t>
      </w:r>
    </w:p>
    <w:p w14:paraId="23F158B9">
      <w:pPr>
        <w:pStyle w:val="25"/>
        <w:numPr>
          <w:ilvl w:val="0"/>
          <w:numId w:val="0"/>
        </w:numPr>
        <w:ind w:left="220"/>
        <w:rPr>
          <w:rFonts w:hint="eastAsia"/>
        </w:rPr>
      </w:pPr>
      <w:r>
        <w:drawing>
          <wp:inline distT="0" distB="0" distL="0" distR="0">
            <wp:extent cx="5274310" cy="2089785"/>
            <wp:effectExtent l="0" t="0" r="2540" b="5715"/>
            <wp:docPr id="1082269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26984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56E1F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372995"/>
            <wp:effectExtent l="0" t="0" r="2540" b="8255"/>
            <wp:docPr id="5514059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405924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EA5F5">
      <w:pPr>
        <w:pStyle w:val="4"/>
        <w:rPr>
          <w:rFonts w:hint="eastAsia"/>
        </w:rPr>
      </w:pPr>
      <w:r>
        <w:rPr>
          <w:rFonts w:hint="eastAsia"/>
        </w:rPr>
        <w:t>免征信息技术服务费</w:t>
      </w:r>
    </w:p>
    <w:p w14:paraId="14F163E0">
      <w:pPr>
        <w:pStyle w:val="25"/>
        <w:numPr>
          <w:ilvl w:val="0"/>
          <w:numId w:val="7"/>
        </w:numPr>
        <w:ind w:firstLineChars="0"/>
        <w:rPr>
          <w:rFonts w:hint="eastAsia"/>
        </w:rPr>
      </w:pPr>
      <w:r>
        <w:rPr>
          <w:rFonts w:hint="eastAsia"/>
        </w:rPr>
        <w:t>免征信息技术服务费使用：供应商报价</w:t>
      </w:r>
      <w:r>
        <w:t>/</w:t>
      </w:r>
      <w:r>
        <w:rPr>
          <w:rFonts w:hint="eastAsia"/>
        </w:rPr>
        <w:t>投标人投标时 -如已对该供应商配置了免征-按次数/按时段/按项目信息技术服务费-系统会自动记录使用记录，不弹出提示。</w:t>
      </w:r>
    </w:p>
    <w:p w14:paraId="0B9140E0">
      <w:pPr>
        <w:pStyle w:val="4"/>
        <w:rPr>
          <w:rFonts w:hint="eastAsia"/>
        </w:rPr>
      </w:pPr>
      <w:r>
        <w:rPr>
          <w:rFonts w:hint="eastAsia"/>
        </w:rPr>
        <w:t>使用信息技术服务费</w:t>
      </w:r>
    </w:p>
    <w:p w14:paraId="5E728333">
      <w:pPr>
        <w:pStyle w:val="25"/>
        <w:numPr>
          <w:ilvl w:val="0"/>
          <w:numId w:val="8"/>
        </w:numPr>
        <w:ind w:firstLineChars="0"/>
        <w:rPr>
          <w:rFonts w:hint="eastAsia"/>
        </w:rPr>
      </w:pPr>
      <w:r>
        <w:rPr>
          <w:rFonts w:hint="eastAsia"/>
        </w:rPr>
        <w:t>使用信息技术服务费</w:t>
      </w:r>
    </w:p>
    <w:p w14:paraId="6A2033B6">
      <w:pPr>
        <w:pStyle w:val="21"/>
        <w:rPr>
          <w:rFonts w:hint="eastAsia"/>
        </w:rPr>
      </w:pPr>
      <w:r>
        <w:rPr>
          <w:rFonts w:hint="eastAsia"/>
          <w:color w:val="FF0000"/>
        </w:rPr>
        <w:t>供应商报价时</w:t>
      </w:r>
      <w:r>
        <w:rPr>
          <w:rFonts w:hint="eastAsia"/>
        </w:rPr>
        <w:t xml:space="preserve"> -如已购买-次数/年费信息技术服务费（</w:t>
      </w:r>
      <w:r>
        <w:rPr>
          <w:rFonts w:hint="eastAsia"/>
          <w:color w:val="FF0000"/>
        </w:rPr>
        <w:t>如同时购买年费和次费会优先弹出使用年费</w:t>
      </w:r>
      <w:r>
        <w:rPr>
          <w:rFonts w:hint="eastAsia"/>
        </w:rPr>
        <w:t>）-会弹窗提示当前是否使用信息技术服务费-点击-使用-可继续报价-代表使用成功。</w:t>
      </w:r>
    </w:p>
    <w:p w14:paraId="706CB471">
      <w:pPr>
        <w:pStyle w:val="11"/>
        <w:rPr>
          <w:rFonts w:hint="eastAsia"/>
        </w:rPr>
      </w:pPr>
      <w:r>
        <w:drawing>
          <wp:inline distT="0" distB="0" distL="0" distR="0">
            <wp:extent cx="5274310" cy="2202815"/>
            <wp:effectExtent l="0" t="0" r="2540" b="6985"/>
            <wp:docPr id="10989466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946655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33F66">
      <w:pPr>
        <w:pStyle w:val="21"/>
        <w:rPr>
          <w:rFonts w:hint="eastAsia"/>
        </w:rPr>
      </w:pPr>
      <w:r>
        <w:rPr>
          <w:rFonts w:hint="eastAsia"/>
          <w:color w:val="FF0000"/>
        </w:rPr>
        <w:t>投标人投标时</w:t>
      </w:r>
      <w:r>
        <w:rPr>
          <w:rFonts w:hint="eastAsia"/>
        </w:rPr>
        <w:t xml:space="preserve"> -如已购买-次数/年费信息技术服务费（</w:t>
      </w:r>
      <w:r>
        <w:rPr>
          <w:rFonts w:hint="eastAsia"/>
          <w:color w:val="FF0000"/>
        </w:rPr>
        <w:t>如同时购买年费和次费会优先弹出使用年费</w:t>
      </w:r>
      <w:r>
        <w:rPr>
          <w:rFonts w:hint="eastAsia"/>
        </w:rPr>
        <w:t>）-会弹窗提示当前是否使用信息技术服务费-点击-使用-可继续报价-代表使用成功。</w:t>
      </w:r>
    </w:p>
    <w:p w14:paraId="35B3F8B5">
      <w:pPr>
        <w:pStyle w:val="11"/>
        <w:rPr>
          <w:rFonts w:hint="eastAsia"/>
        </w:rPr>
      </w:pPr>
      <w:r>
        <w:drawing>
          <wp:inline distT="0" distB="0" distL="0" distR="0">
            <wp:extent cx="5274310" cy="2357120"/>
            <wp:effectExtent l="0" t="0" r="2540" b="5080"/>
            <wp:docPr id="4054091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09128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90AA0">
      <w:pPr>
        <w:pStyle w:val="25"/>
        <w:numPr>
          <w:ilvl w:val="0"/>
          <w:numId w:val="8"/>
        </w:numPr>
        <w:ind w:firstLineChars="0"/>
        <w:rPr>
          <w:rFonts w:hint="eastAsia"/>
        </w:rPr>
      </w:pPr>
      <w:r>
        <w:rPr>
          <w:rFonts w:hint="eastAsia"/>
        </w:rPr>
        <w:t>供应商-信息技术服务费的使用记录。</w:t>
      </w:r>
    </w:p>
    <w:p w14:paraId="29B1967A">
      <w:pPr>
        <w:pStyle w:val="25"/>
        <w:numPr>
          <w:ilvl w:val="0"/>
          <w:numId w:val="0"/>
        </w:numPr>
        <w:rPr>
          <w:rFonts w:hint="eastAsia"/>
        </w:rPr>
      </w:pPr>
      <w:r>
        <w:drawing>
          <wp:inline distT="0" distB="0" distL="0" distR="0">
            <wp:extent cx="5274310" cy="2274570"/>
            <wp:effectExtent l="0" t="0" r="2540" b="0"/>
            <wp:docPr id="12778629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862976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83A3A">
      <w:pPr>
        <w:pStyle w:val="2"/>
        <w:rPr>
          <w:rFonts w:hint="eastAsia"/>
        </w:rPr>
      </w:pPr>
      <w:bookmarkStart w:id="4" w:name="_Toc16672550"/>
      <w:bookmarkStart w:id="5" w:name="_Toc113630937"/>
      <w:r>
        <w:rPr>
          <w:rFonts w:hint="eastAsia"/>
        </w:rPr>
        <w:t>三、技术支持</w:t>
      </w:r>
      <w:bookmarkEnd w:id="4"/>
      <w:bookmarkEnd w:id="5"/>
    </w:p>
    <w:p w14:paraId="11FE926C">
      <w:pPr>
        <w:rPr>
          <w:rFonts w:hint="eastAsia"/>
        </w:rPr>
      </w:pPr>
      <w:r>
        <w:rPr>
          <w:rFonts w:hint="eastAsia"/>
        </w:rPr>
        <w:t>投标单位在平台进行操作时如有任何问题，请联系平台客服及时解决，电话和QQ群可在哈电集团</w:t>
      </w:r>
      <w:r>
        <w:rPr>
          <w:rFonts w:hint="eastAsia"/>
          <w:lang w:val="en-US" w:eastAsia="zh-CN"/>
        </w:rPr>
        <w:t>采购招标</w:t>
      </w:r>
      <w:r>
        <w:rPr>
          <w:rFonts w:hint="eastAsia"/>
        </w:rPr>
        <w:t>平台门户上查看。</w:t>
      </w:r>
    </w:p>
    <w:p w14:paraId="6E43FA6B">
      <w:pPr>
        <w:rPr>
          <w:rFonts w:hint="eastAsia"/>
        </w:rPr>
      </w:pPr>
      <w:r>
        <w:rPr>
          <w:rFonts w:hint="eastAsia"/>
        </w:rPr>
        <w:t>咨询服务电话：0451-58590707 / 0451-58590708</w:t>
      </w:r>
    </w:p>
    <w:p w14:paraId="40EADC1F">
      <w:pPr>
        <w:rPr>
          <w:rFonts w:hint="eastAsia"/>
        </w:rPr>
      </w:pPr>
      <w:r>
        <w:rPr>
          <w:rFonts w:hint="eastAsia"/>
        </w:rPr>
        <w:t>技术支持QQ群：541090948</w:t>
      </w:r>
    </w:p>
    <w:p w14:paraId="0D0B77D8">
      <w:pPr>
        <w:rPr>
          <w:rFonts w:hint="eastAsia"/>
        </w:rPr>
      </w:pPr>
    </w:p>
    <w:sectPr>
      <w:pgSz w:w="11906" w:h="16838"/>
      <w:pgMar w:top="1560" w:right="1800" w:bottom="1418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E86480"/>
    <w:multiLevelType w:val="multilevel"/>
    <w:tmpl w:val="0CE86480"/>
    <w:lvl w:ilvl="0" w:tentative="0">
      <w:start w:val="1"/>
      <w:numFmt w:val="decimal"/>
      <w:pStyle w:val="5"/>
      <w:lvlText w:val="(%1)"/>
      <w:lvlJc w:val="left"/>
      <w:pPr>
        <w:ind w:left="86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">
    <w:nsid w:val="38CE7CE9"/>
    <w:multiLevelType w:val="multilevel"/>
    <w:tmpl w:val="38CE7CE9"/>
    <w:lvl w:ilvl="0" w:tentative="0">
      <w:start w:val="1"/>
      <w:numFmt w:val="decimal"/>
      <w:pStyle w:val="25"/>
      <w:lvlText w:val="(%1)"/>
      <w:lvlJc w:val="left"/>
      <w:pPr>
        <w:tabs>
          <w:tab w:val="left" w:pos="-420"/>
        </w:tabs>
        <w:ind w:left="220" w:hanging="440"/>
      </w:pPr>
      <w:rPr>
        <w:rFonts w:hint="eastAsia"/>
        <w:color w:val="auto"/>
      </w:rPr>
    </w:lvl>
    <w:lvl w:ilvl="1" w:tentative="0">
      <w:start w:val="1"/>
      <w:numFmt w:val="lowerLetter"/>
      <w:lvlText w:val="%2)"/>
      <w:lvlJc w:val="left"/>
      <w:pPr>
        <w:tabs>
          <w:tab w:val="left" w:pos="-420"/>
        </w:tabs>
        <w:ind w:left="660" w:hanging="440"/>
      </w:pPr>
    </w:lvl>
    <w:lvl w:ilvl="2" w:tentative="0">
      <w:start w:val="1"/>
      <w:numFmt w:val="lowerRoman"/>
      <w:lvlText w:val="%3."/>
      <w:lvlJc w:val="right"/>
      <w:pPr>
        <w:tabs>
          <w:tab w:val="left" w:pos="-420"/>
        </w:tabs>
        <w:ind w:left="1100" w:hanging="440"/>
      </w:pPr>
    </w:lvl>
    <w:lvl w:ilvl="3" w:tentative="0">
      <w:start w:val="1"/>
      <w:numFmt w:val="decimal"/>
      <w:lvlText w:val="%4."/>
      <w:lvlJc w:val="left"/>
      <w:pPr>
        <w:tabs>
          <w:tab w:val="left" w:pos="-420"/>
        </w:tabs>
        <w:ind w:left="1540" w:hanging="440"/>
      </w:pPr>
    </w:lvl>
    <w:lvl w:ilvl="4" w:tentative="0">
      <w:start w:val="1"/>
      <w:numFmt w:val="lowerLetter"/>
      <w:lvlText w:val="%5)"/>
      <w:lvlJc w:val="left"/>
      <w:pPr>
        <w:tabs>
          <w:tab w:val="left" w:pos="-420"/>
        </w:tabs>
        <w:ind w:left="1980" w:hanging="440"/>
      </w:pPr>
    </w:lvl>
    <w:lvl w:ilvl="5" w:tentative="0">
      <w:start w:val="1"/>
      <w:numFmt w:val="lowerRoman"/>
      <w:lvlText w:val="%6."/>
      <w:lvlJc w:val="right"/>
      <w:pPr>
        <w:tabs>
          <w:tab w:val="left" w:pos="-420"/>
        </w:tabs>
        <w:ind w:left="2420" w:hanging="440"/>
      </w:pPr>
    </w:lvl>
    <w:lvl w:ilvl="6" w:tentative="0">
      <w:start w:val="1"/>
      <w:numFmt w:val="decimal"/>
      <w:lvlText w:val="%7."/>
      <w:lvlJc w:val="left"/>
      <w:pPr>
        <w:tabs>
          <w:tab w:val="left" w:pos="-420"/>
        </w:tabs>
        <w:ind w:left="2860" w:hanging="440"/>
      </w:pPr>
    </w:lvl>
    <w:lvl w:ilvl="7" w:tentative="0">
      <w:start w:val="1"/>
      <w:numFmt w:val="lowerLetter"/>
      <w:lvlText w:val="%8)"/>
      <w:lvlJc w:val="left"/>
      <w:pPr>
        <w:tabs>
          <w:tab w:val="left" w:pos="-420"/>
        </w:tabs>
        <w:ind w:left="3300" w:hanging="440"/>
      </w:pPr>
    </w:lvl>
    <w:lvl w:ilvl="8" w:tentative="0">
      <w:start w:val="1"/>
      <w:numFmt w:val="lowerRoman"/>
      <w:lvlText w:val="%9."/>
      <w:lvlJc w:val="right"/>
      <w:pPr>
        <w:tabs>
          <w:tab w:val="left" w:pos="-420"/>
        </w:tabs>
        <w:ind w:left="3740" w:hanging="440"/>
      </w:pPr>
    </w:lvl>
  </w:abstractNum>
  <w:abstractNum w:abstractNumId="2">
    <w:nsid w:val="4F122765"/>
    <w:multiLevelType w:val="multilevel"/>
    <w:tmpl w:val="4F122765"/>
    <w:lvl w:ilvl="0" w:tentative="0">
      <w:start w:val="1"/>
      <w:numFmt w:val="bullet"/>
      <w:pStyle w:val="21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3">
    <w:nsid w:val="66952EE7"/>
    <w:multiLevelType w:val="multilevel"/>
    <w:tmpl w:val="66952EE7"/>
    <w:lvl w:ilvl="0" w:tentative="0">
      <w:start w:val="1"/>
      <w:numFmt w:val="chineseCountingThousand"/>
      <w:pStyle w:val="3"/>
      <w:lvlText w:val="(%1)"/>
      <w:lvlJc w:val="left"/>
      <w:pPr>
        <w:ind w:left="44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4">
    <w:nsid w:val="7BAA7FD4"/>
    <w:multiLevelType w:val="multilevel"/>
    <w:tmpl w:val="7BAA7FD4"/>
    <w:lvl w:ilvl="0" w:tentative="0">
      <w:start w:val="1"/>
      <w:numFmt w:val="decimal"/>
      <w:pStyle w:val="4"/>
      <w:lvlText w:val="%1."/>
      <w:lvlJc w:val="left"/>
      <w:pPr>
        <w:ind w:left="440" w:hanging="440"/>
      </w:pPr>
      <w:rPr>
        <w:rFonts w:hint="eastAsia" w:ascii="宋体" w:hAnsi="宋体" w:eastAsia="宋体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FlYTVlYzAyNmRiNGZiNGU4NTViNmQyOWYzNDU4ZTgifQ=="/>
  </w:docVars>
  <w:rsids>
    <w:rsidRoot w:val="00FB52B2"/>
    <w:rsid w:val="000015AB"/>
    <w:rsid w:val="00003532"/>
    <w:rsid w:val="00010C11"/>
    <w:rsid w:val="000143AC"/>
    <w:rsid w:val="0002053B"/>
    <w:rsid w:val="00025109"/>
    <w:rsid w:val="000373BA"/>
    <w:rsid w:val="00062D3D"/>
    <w:rsid w:val="00071505"/>
    <w:rsid w:val="00086B75"/>
    <w:rsid w:val="00093B11"/>
    <w:rsid w:val="000B2443"/>
    <w:rsid w:val="000B7770"/>
    <w:rsid w:val="000B7EF3"/>
    <w:rsid w:val="000D0FF8"/>
    <w:rsid w:val="000D3BCD"/>
    <w:rsid w:val="000E0CA1"/>
    <w:rsid w:val="00120741"/>
    <w:rsid w:val="00133E02"/>
    <w:rsid w:val="00134395"/>
    <w:rsid w:val="00135235"/>
    <w:rsid w:val="00146648"/>
    <w:rsid w:val="00154665"/>
    <w:rsid w:val="00167AE9"/>
    <w:rsid w:val="00173ED9"/>
    <w:rsid w:val="001A43C4"/>
    <w:rsid w:val="001A5C3B"/>
    <w:rsid w:val="001B305B"/>
    <w:rsid w:val="001B491F"/>
    <w:rsid w:val="001B55DA"/>
    <w:rsid w:val="001E03B4"/>
    <w:rsid w:val="001E1B7B"/>
    <w:rsid w:val="001E5E15"/>
    <w:rsid w:val="001F1E26"/>
    <w:rsid w:val="001F5348"/>
    <w:rsid w:val="0020426F"/>
    <w:rsid w:val="00221773"/>
    <w:rsid w:val="002323EA"/>
    <w:rsid w:val="00243273"/>
    <w:rsid w:val="002622FA"/>
    <w:rsid w:val="0027127A"/>
    <w:rsid w:val="002854CB"/>
    <w:rsid w:val="002A3269"/>
    <w:rsid w:val="002A3473"/>
    <w:rsid w:val="002A4B82"/>
    <w:rsid w:val="002A4DBF"/>
    <w:rsid w:val="002C4981"/>
    <w:rsid w:val="002E7CBB"/>
    <w:rsid w:val="002F4075"/>
    <w:rsid w:val="00310A4B"/>
    <w:rsid w:val="0032085E"/>
    <w:rsid w:val="00324C8E"/>
    <w:rsid w:val="0033320C"/>
    <w:rsid w:val="00343EE0"/>
    <w:rsid w:val="0037637F"/>
    <w:rsid w:val="00387ABC"/>
    <w:rsid w:val="00391838"/>
    <w:rsid w:val="003A5799"/>
    <w:rsid w:val="003B0DAF"/>
    <w:rsid w:val="003C1E7D"/>
    <w:rsid w:val="003D0AD4"/>
    <w:rsid w:val="003D55A7"/>
    <w:rsid w:val="004024F7"/>
    <w:rsid w:val="0040675C"/>
    <w:rsid w:val="00433210"/>
    <w:rsid w:val="00435F3F"/>
    <w:rsid w:val="00440DC9"/>
    <w:rsid w:val="00457A9F"/>
    <w:rsid w:val="004628B2"/>
    <w:rsid w:val="00470F7D"/>
    <w:rsid w:val="0047474B"/>
    <w:rsid w:val="004827B9"/>
    <w:rsid w:val="004A066B"/>
    <w:rsid w:val="004A6CC8"/>
    <w:rsid w:val="004B067C"/>
    <w:rsid w:val="004C0439"/>
    <w:rsid w:val="004C28B4"/>
    <w:rsid w:val="004E4EBA"/>
    <w:rsid w:val="005054A5"/>
    <w:rsid w:val="00507019"/>
    <w:rsid w:val="005124B3"/>
    <w:rsid w:val="0054610D"/>
    <w:rsid w:val="00547DF2"/>
    <w:rsid w:val="00555731"/>
    <w:rsid w:val="00574E8D"/>
    <w:rsid w:val="005771BA"/>
    <w:rsid w:val="00582A78"/>
    <w:rsid w:val="00587C70"/>
    <w:rsid w:val="005A767C"/>
    <w:rsid w:val="005B30F0"/>
    <w:rsid w:val="005C1F8D"/>
    <w:rsid w:val="005C596C"/>
    <w:rsid w:val="00625C96"/>
    <w:rsid w:val="006339DE"/>
    <w:rsid w:val="006358CF"/>
    <w:rsid w:val="006405E0"/>
    <w:rsid w:val="00654FEA"/>
    <w:rsid w:val="006651F9"/>
    <w:rsid w:val="0069221D"/>
    <w:rsid w:val="006B44AE"/>
    <w:rsid w:val="006C5713"/>
    <w:rsid w:val="006D088B"/>
    <w:rsid w:val="006D0C9C"/>
    <w:rsid w:val="006D2BDF"/>
    <w:rsid w:val="006D7EB7"/>
    <w:rsid w:val="006E10AD"/>
    <w:rsid w:val="0070146E"/>
    <w:rsid w:val="007052B6"/>
    <w:rsid w:val="00707383"/>
    <w:rsid w:val="00713C1A"/>
    <w:rsid w:val="0072197F"/>
    <w:rsid w:val="00722D64"/>
    <w:rsid w:val="00725592"/>
    <w:rsid w:val="00734CBD"/>
    <w:rsid w:val="0073719D"/>
    <w:rsid w:val="0075230D"/>
    <w:rsid w:val="00761F3C"/>
    <w:rsid w:val="00764BCC"/>
    <w:rsid w:val="00767079"/>
    <w:rsid w:val="00775514"/>
    <w:rsid w:val="00776CB2"/>
    <w:rsid w:val="00780098"/>
    <w:rsid w:val="007948BD"/>
    <w:rsid w:val="007967A6"/>
    <w:rsid w:val="007A0614"/>
    <w:rsid w:val="007B470A"/>
    <w:rsid w:val="007C1EB7"/>
    <w:rsid w:val="007C326D"/>
    <w:rsid w:val="007E37C1"/>
    <w:rsid w:val="00813C9B"/>
    <w:rsid w:val="0082132A"/>
    <w:rsid w:val="0083310E"/>
    <w:rsid w:val="0084101E"/>
    <w:rsid w:val="008645CE"/>
    <w:rsid w:val="00865F91"/>
    <w:rsid w:val="00867CA3"/>
    <w:rsid w:val="00875147"/>
    <w:rsid w:val="008934D7"/>
    <w:rsid w:val="008A0A9C"/>
    <w:rsid w:val="008B5531"/>
    <w:rsid w:val="008D052C"/>
    <w:rsid w:val="008E0DC2"/>
    <w:rsid w:val="008E60DE"/>
    <w:rsid w:val="008F048E"/>
    <w:rsid w:val="00905BA4"/>
    <w:rsid w:val="00925698"/>
    <w:rsid w:val="00946479"/>
    <w:rsid w:val="00960E0A"/>
    <w:rsid w:val="009765AA"/>
    <w:rsid w:val="00977695"/>
    <w:rsid w:val="00981565"/>
    <w:rsid w:val="00983F17"/>
    <w:rsid w:val="00991CE8"/>
    <w:rsid w:val="009936D3"/>
    <w:rsid w:val="00994F0B"/>
    <w:rsid w:val="00996987"/>
    <w:rsid w:val="009A461E"/>
    <w:rsid w:val="009B0B37"/>
    <w:rsid w:val="009B178C"/>
    <w:rsid w:val="009B6264"/>
    <w:rsid w:val="009C3312"/>
    <w:rsid w:val="009E6410"/>
    <w:rsid w:val="009F367E"/>
    <w:rsid w:val="009F5124"/>
    <w:rsid w:val="009F6A90"/>
    <w:rsid w:val="00A06B95"/>
    <w:rsid w:val="00A1037B"/>
    <w:rsid w:val="00A2070A"/>
    <w:rsid w:val="00A44CC6"/>
    <w:rsid w:val="00A45C23"/>
    <w:rsid w:val="00A45F37"/>
    <w:rsid w:val="00A74E78"/>
    <w:rsid w:val="00A96437"/>
    <w:rsid w:val="00A97DBF"/>
    <w:rsid w:val="00AC07CF"/>
    <w:rsid w:val="00AC33B0"/>
    <w:rsid w:val="00AC566D"/>
    <w:rsid w:val="00AE2C3E"/>
    <w:rsid w:val="00AE4284"/>
    <w:rsid w:val="00AE4A17"/>
    <w:rsid w:val="00AF1A99"/>
    <w:rsid w:val="00AF2CDE"/>
    <w:rsid w:val="00B11454"/>
    <w:rsid w:val="00B14D37"/>
    <w:rsid w:val="00B3157B"/>
    <w:rsid w:val="00B32D83"/>
    <w:rsid w:val="00B42B3B"/>
    <w:rsid w:val="00B4571A"/>
    <w:rsid w:val="00B51475"/>
    <w:rsid w:val="00B55287"/>
    <w:rsid w:val="00B62B4D"/>
    <w:rsid w:val="00B7644F"/>
    <w:rsid w:val="00B8178E"/>
    <w:rsid w:val="00B8264C"/>
    <w:rsid w:val="00BA6BCA"/>
    <w:rsid w:val="00BA75C8"/>
    <w:rsid w:val="00BB203C"/>
    <w:rsid w:val="00BB2287"/>
    <w:rsid w:val="00BC23A2"/>
    <w:rsid w:val="00BE6B14"/>
    <w:rsid w:val="00BF3A3E"/>
    <w:rsid w:val="00C01DD5"/>
    <w:rsid w:val="00C15949"/>
    <w:rsid w:val="00C32D5D"/>
    <w:rsid w:val="00C35BA3"/>
    <w:rsid w:val="00C4038A"/>
    <w:rsid w:val="00C4557D"/>
    <w:rsid w:val="00C46CE6"/>
    <w:rsid w:val="00C46E7A"/>
    <w:rsid w:val="00C52C06"/>
    <w:rsid w:val="00C60938"/>
    <w:rsid w:val="00C853EB"/>
    <w:rsid w:val="00C93609"/>
    <w:rsid w:val="00C953BB"/>
    <w:rsid w:val="00CA403F"/>
    <w:rsid w:val="00CC5B56"/>
    <w:rsid w:val="00CC6066"/>
    <w:rsid w:val="00CC7005"/>
    <w:rsid w:val="00CD22EA"/>
    <w:rsid w:val="00CD37F5"/>
    <w:rsid w:val="00CD3C7A"/>
    <w:rsid w:val="00D00449"/>
    <w:rsid w:val="00D10757"/>
    <w:rsid w:val="00D277E4"/>
    <w:rsid w:val="00D315BE"/>
    <w:rsid w:val="00D514AB"/>
    <w:rsid w:val="00D65BB0"/>
    <w:rsid w:val="00D72619"/>
    <w:rsid w:val="00D767C4"/>
    <w:rsid w:val="00D76BBC"/>
    <w:rsid w:val="00D83ECC"/>
    <w:rsid w:val="00DA0CAF"/>
    <w:rsid w:val="00DA2113"/>
    <w:rsid w:val="00DA54C7"/>
    <w:rsid w:val="00DB5E90"/>
    <w:rsid w:val="00DC1E15"/>
    <w:rsid w:val="00DD0971"/>
    <w:rsid w:val="00DD4C43"/>
    <w:rsid w:val="00DE6505"/>
    <w:rsid w:val="00E02264"/>
    <w:rsid w:val="00E12719"/>
    <w:rsid w:val="00E27A18"/>
    <w:rsid w:val="00E30BC6"/>
    <w:rsid w:val="00E500E3"/>
    <w:rsid w:val="00E55CCE"/>
    <w:rsid w:val="00E80928"/>
    <w:rsid w:val="00E81BF6"/>
    <w:rsid w:val="00E83A54"/>
    <w:rsid w:val="00E927FC"/>
    <w:rsid w:val="00EA1BD2"/>
    <w:rsid w:val="00EC185C"/>
    <w:rsid w:val="00EC6B4F"/>
    <w:rsid w:val="00ED4A2B"/>
    <w:rsid w:val="00EF0DD4"/>
    <w:rsid w:val="00EF5078"/>
    <w:rsid w:val="00F00F7A"/>
    <w:rsid w:val="00F21FA0"/>
    <w:rsid w:val="00F403F7"/>
    <w:rsid w:val="00F57133"/>
    <w:rsid w:val="00F605E3"/>
    <w:rsid w:val="00F65342"/>
    <w:rsid w:val="00F73550"/>
    <w:rsid w:val="00F73C07"/>
    <w:rsid w:val="00F7524C"/>
    <w:rsid w:val="00F80675"/>
    <w:rsid w:val="00F87E5A"/>
    <w:rsid w:val="00FB52B2"/>
    <w:rsid w:val="00FC5751"/>
    <w:rsid w:val="00FD1747"/>
    <w:rsid w:val="00FF21EA"/>
    <w:rsid w:val="00FF58A6"/>
    <w:rsid w:val="020F5B76"/>
    <w:rsid w:val="06F246CA"/>
    <w:rsid w:val="0A2772B0"/>
    <w:rsid w:val="0AC9107D"/>
    <w:rsid w:val="0DFB45D8"/>
    <w:rsid w:val="1131468B"/>
    <w:rsid w:val="18237103"/>
    <w:rsid w:val="194C364D"/>
    <w:rsid w:val="1C7001E9"/>
    <w:rsid w:val="315A1D04"/>
    <w:rsid w:val="40EF45E5"/>
    <w:rsid w:val="42B16E1C"/>
    <w:rsid w:val="43120CA1"/>
    <w:rsid w:val="465D40A2"/>
    <w:rsid w:val="56A71BFA"/>
    <w:rsid w:val="6BB60226"/>
    <w:rsid w:val="72487916"/>
    <w:rsid w:val="777D7606"/>
    <w:rsid w:val="7DF2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jc w:val="both"/>
    </w:pPr>
    <w:rPr>
      <w:rFonts w:eastAsia="华文宋体" w:asciiTheme="minorHAnsi" w:hAnsiTheme="minorHAnsi" w:cstheme="minorBidi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9"/>
    <w:autoRedefine/>
    <w:unhideWhenUsed/>
    <w:qFormat/>
    <w:uiPriority w:val="9"/>
    <w:pPr>
      <w:keepNext/>
      <w:keepLines/>
      <w:numPr>
        <w:ilvl w:val="0"/>
        <w:numId w:val="1"/>
      </w:numPr>
      <w:spacing w:before="260" w:after="260"/>
      <w:ind w:left="0" w:firstLine="0"/>
      <w:outlineLvl w:val="1"/>
    </w:pPr>
    <w:rPr>
      <w:rFonts w:asciiTheme="majorHAnsi" w:hAnsiTheme="majorHAnsi" w:cstheme="majorBidi"/>
      <w:b/>
      <w:bCs/>
      <w:szCs w:val="32"/>
    </w:rPr>
  </w:style>
  <w:style w:type="paragraph" w:styleId="4">
    <w:name w:val="heading 3"/>
    <w:basedOn w:val="1"/>
    <w:next w:val="1"/>
    <w:link w:val="23"/>
    <w:autoRedefine/>
    <w:unhideWhenUsed/>
    <w:qFormat/>
    <w:uiPriority w:val="9"/>
    <w:pPr>
      <w:keepNext/>
      <w:keepLines/>
      <w:numPr>
        <w:ilvl w:val="0"/>
        <w:numId w:val="2"/>
      </w:numPr>
      <w:spacing w:before="260" w:after="260"/>
      <w:ind w:left="0" w:firstLine="0"/>
      <w:outlineLvl w:val="2"/>
    </w:pPr>
    <w:rPr>
      <w:b/>
      <w:bCs/>
      <w:szCs w:val="32"/>
    </w:rPr>
  </w:style>
  <w:style w:type="paragraph" w:styleId="5">
    <w:name w:val="heading 4"/>
    <w:basedOn w:val="1"/>
    <w:next w:val="1"/>
    <w:link w:val="24"/>
    <w:autoRedefine/>
    <w:unhideWhenUsed/>
    <w:qFormat/>
    <w:uiPriority w:val="9"/>
    <w:pPr>
      <w:keepNext/>
      <w:keepLines/>
      <w:numPr>
        <w:ilvl w:val="0"/>
        <w:numId w:val="3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0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autoRedefine/>
    <w:unhideWhenUsed/>
    <w:qFormat/>
    <w:uiPriority w:val="39"/>
  </w:style>
  <w:style w:type="paragraph" w:styleId="10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1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Hyperlink"/>
    <w:basedOn w:val="13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页眉 字符"/>
    <w:basedOn w:val="13"/>
    <w:link w:val="8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7"/>
    <w:autoRedefine/>
    <w:qFormat/>
    <w:uiPriority w:val="99"/>
    <w:rPr>
      <w:sz w:val="18"/>
      <w:szCs w:val="18"/>
    </w:rPr>
  </w:style>
  <w:style w:type="character" w:customStyle="1" w:styleId="18">
    <w:name w:val="标题 1 字符"/>
    <w:basedOn w:val="13"/>
    <w:link w:val="2"/>
    <w:autoRedefine/>
    <w:qFormat/>
    <w:uiPriority w:val="9"/>
    <w:rPr>
      <w:rFonts w:eastAsia="华文宋体"/>
      <w:b/>
      <w:bCs/>
      <w:kern w:val="44"/>
      <w:sz w:val="32"/>
      <w:szCs w:val="44"/>
    </w:rPr>
  </w:style>
  <w:style w:type="character" w:customStyle="1" w:styleId="19">
    <w:name w:val="标题 2 字符"/>
    <w:basedOn w:val="13"/>
    <w:link w:val="3"/>
    <w:autoRedefine/>
    <w:qFormat/>
    <w:uiPriority w:val="9"/>
    <w:rPr>
      <w:rFonts w:eastAsia="华文宋体" w:asciiTheme="majorHAnsi" w:hAnsiTheme="majorHAnsi" w:cstheme="majorBidi"/>
      <w:b/>
      <w:bCs/>
      <w:sz w:val="28"/>
      <w:szCs w:val="32"/>
    </w:rPr>
  </w:style>
  <w:style w:type="character" w:customStyle="1" w:styleId="20">
    <w:name w:val="批注框文本 字符"/>
    <w:basedOn w:val="13"/>
    <w:link w:val="6"/>
    <w:autoRedefine/>
    <w:semiHidden/>
    <w:qFormat/>
    <w:uiPriority w:val="99"/>
    <w:rPr>
      <w:sz w:val="18"/>
      <w:szCs w:val="18"/>
    </w:rPr>
  </w:style>
  <w:style w:type="paragraph" w:styleId="21">
    <w:name w:val="List Paragraph"/>
    <w:basedOn w:val="1"/>
    <w:autoRedefine/>
    <w:qFormat/>
    <w:uiPriority w:val="34"/>
    <w:pPr>
      <w:numPr>
        <w:ilvl w:val="0"/>
        <w:numId w:val="4"/>
      </w:numPr>
    </w:pPr>
    <w:rPr>
      <w:color w:val="000000" w:themeColor="text1"/>
      <w14:textFill>
        <w14:solidFill>
          <w14:schemeClr w14:val="tx1"/>
        </w14:solidFill>
      </w14:textFill>
    </w:rPr>
  </w:style>
  <w:style w:type="paragraph" w:customStyle="1" w:styleId="22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Cs w:val="32"/>
    </w:rPr>
  </w:style>
  <w:style w:type="character" w:customStyle="1" w:styleId="23">
    <w:name w:val="标题 3 字符"/>
    <w:basedOn w:val="13"/>
    <w:link w:val="4"/>
    <w:autoRedefine/>
    <w:qFormat/>
    <w:uiPriority w:val="9"/>
    <w:rPr>
      <w:rFonts w:eastAsia="华文宋体"/>
      <w:b/>
      <w:bCs/>
      <w:sz w:val="28"/>
      <w:szCs w:val="32"/>
    </w:rPr>
  </w:style>
  <w:style w:type="character" w:customStyle="1" w:styleId="24">
    <w:name w:val="标题 4 字符"/>
    <w:basedOn w:val="13"/>
    <w:link w:val="5"/>
    <w:autoRedefine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25">
    <w:name w:val="No Spacing"/>
    <w:autoRedefine/>
    <w:qFormat/>
    <w:uiPriority w:val="1"/>
    <w:pPr>
      <w:widowControl w:val="0"/>
      <w:numPr>
        <w:ilvl w:val="0"/>
        <w:numId w:val="5"/>
      </w:numPr>
      <w:ind w:left="0" w:firstLine="560" w:firstLineChars="200"/>
      <w:jc w:val="both"/>
    </w:pPr>
    <w:rPr>
      <w:rFonts w:eastAsia="华文宋体" w:asciiTheme="minorHAnsi" w:hAnsiTheme="minorHAnsi" w:cstheme="minorBidi"/>
      <w:kern w:val="2"/>
      <w:sz w:val="28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customXml" Target="../customXml/item1.xml"/><Relationship Id="rId26" Type="http://schemas.openxmlformats.org/officeDocument/2006/relationships/numbering" Target="numbering.xml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9908A-CC9A-4F68-8015-449D8CF4D1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1566</Words>
  <Characters>1633</Characters>
  <Lines>85</Lines>
  <Paragraphs>47</Paragraphs>
  <TotalTime>4</TotalTime>
  <ScaleCrop>false</ScaleCrop>
  <LinksUpToDate>false</LinksUpToDate>
  <CharactersWithSpaces>1649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2025-11-28T03:31:00Z</dcterms:created>
  <dc:creator>月月打大龙</dc:creator>
  <cp:lastModifiedBy>晶茜钰泽</cp:lastModifiedBy>
  <cp:lastPrinted>2024-01-05T06:33:00Z</cp:lastPrinted>
  <dcterms:modified xsi:type="dcterms:W3CDTF">2025-12-05T00:27:46Z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4EF6BC9375B846F284698719BE949905_13</vt:lpwstr>
  </property>
  <property fmtid="{D5CDD505-2E9C-101B-9397-08002B2CF9AE}" pid="4" name="KSOTemplateDocerSaveRecord">
    <vt:lpwstr>eyJoZGlkIjoiYTI2OTNiNjg1MjJhODEzNWM4NDExMjNhY2NmYzA0ZjEiLCJ1c2VySWQiOiIzNTYyMzUzNDUifQ==</vt:lpwstr>
  </property>
</Properties>
</file>